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4461" w14:textId="77777777" w:rsidR="00AF4AAD" w:rsidRDefault="003D4366">
      <w:pPr>
        <w:spacing w:before="120" w:after="120"/>
        <w:ind w:left="4395"/>
        <w:jc w:val="both"/>
        <w:rPr>
          <w:rFonts w:ascii="Arial" w:eastAsia="Arial" w:hAnsi="Arial" w:cs="Arial"/>
          <w:b/>
          <w:sz w:val="24"/>
          <w:szCs w:val="24"/>
        </w:rPr>
      </w:pPr>
      <w:r>
        <w:rPr>
          <w:rFonts w:ascii="Arial" w:eastAsia="Arial" w:hAnsi="Arial" w:cs="Arial"/>
          <w:b/>
          <w:sz w:val="24"/>
          <w:szCs w:val="24"/>
        </w:rPr>
        <w:t>RECURSO DE REVISIÓN DEL PROCEDIMIENTO ESPECIAL SANCIONADOR</w:t>
      </w:r>
    </w:p>
    <w:p w14:paraId="160235F3" w14:textId="77777777" w:rsidR="00AF4AAD" w:rsidRDefault="003D4366">
      <w:pPr>
        <w:spacing w:before="120" w:after="120"/>
        <w:ind w:left="4395"/>
        <w:jc w:val="both"/>
        <w:rPr>
          <w:rFonts w:ascii="Arial" w:eastAsia="Arial" w:hAnsi="Arial" w:cs="Arial"/>
          <w:sz w:val="24"/>
          <w:szCs w:val="24"/>
        </w:rPr>
      </w:pPr>
      <w:r>
        <w:rPr>
          <w:rFonts w:ascii="Arial" w:eastAsia="Arial" w:hAnsi="Arial" w:cs="Arial"/>
          <w:b/>
          <w:sz w:val="24"/>
          <w:szCs w:val="24"/>
        </w:rPr>
        <w:t>EXPEDIENTE:</w:t>
      </w:r>
      <w:r>
        <w:rPr>
          <w:rFonts w:ascii="Arial" w:eastAsia="Arial" w:hAnsi="Arial" w:cs="Arial"/>
          <w:sz w:val="24"/>
          <w:szCs w:val="24"/>
        </w:rPr>
        <w:t xml:space="preserve"> TEEA-REP-001/2022</w:t>
      </w:r>
    </w:p>
    <w:p w14:paraId="6DDC76BA" w14:textId="0DDB4AC4" w:rsidR="00AF4AAD" w:rsidRDefault="00F15311">
      <w:pPr>
        <w:spacing w:before="120" w:after="120"/>
        <w:ind w:left="4395"/>
        <w:jc w:val="both"/>
        <w:rPr>
          <w:rFonts w:ascii="Arial" w:eastAsia="Arial" w:hAnsi="Arial" w:cs="Arial"/>
          <w:sz w:val="24"/>
          <w:szCs w:val="24"/>
        </w:rPr>
      </w:pPr>
      <w:bookmarkStart w:id="0" w:name="_heading=h.gjdgxs" w:colFirst="0" w:colLast="0"/>
      <w:bookmarkEnd w:id="0"/>
      <w:r>
        <w:rPr>
          <w:rFonts w:ascii="Arial" w:eastAsia="Arial" w:hAnsi="Arial" w:cs="Arial"/>
          <w:b/>
          <w:sz w:val="24"/>
          <w:szCs w:val="24"/>
        </w:rPr>
        <w:t>PROMOVENTE</w:t>
      </w:r>
      <w:r w:rsidR="003D4366">
        <w:rPr>
          <w:rFonts w:ascii="Arial" w:eastAsia="Arial" w:hAnsi="Arial" w:cs="Arial"/>
          <w:b/>
          <w:sz w:val="24"/>
          <w:szCs w:val="24"/>
        </w:rPr>
        <w:t>:</w:t>
      </w:r>
      <w:r w:rsidR="003D4366">
        <w:rPr>
          <w:rFonts w:ascii="Arial" w:eastAsia="Arial" w:hAnsi="Arial" w:cs="Arial"/>
          <w:sz w:val="24"/>
          <w:szCs w:val="24"/>
        </w:rPr>
        <w:t xml:space="preserve"> ISRAEL ÁNGEL RAMÍREZ</w:t>
      </w:r>
      <w:r w:rsidR="00FD07E8">
        <w:rPr>
          <w:rFonts w:ascii="Arial" w:eastAsia="Arial" w:hAnsi="Arial" w:cs="Arial"/>
          <w:sz w:val="24"/>
          <w:szCs w:val="24"/>
        </w:rPr>
        <w:t>,</w:t>
      </w:r>
      <w:r w:rsidR="00FD07E8" w:rsidRPr="00FD07E8">
        <w:t xml:space="preserve"> </w:t>
      </w:r>
      <w:r w:rsidR="00FD07E8" w:rsidRPr="00FD07E8">
        <w:rPr>
          <w:rFonts w:ascii="Arial" w:eastAsia="Arial" w:hAnsi="Arial" w:cs="Arial"/>
          <w:sz w:val="24"/>
          <w:szCs w:val="24"/>
        </w:rPr>
        <w:t xml:space="preserve">REPRESENTANTE </w:t>
      </w:r>
      <w:r w:rsidR="00FD07E8">
        <w:rPr>
          <w:rFonts w:ascii="Arial" w:eastAsia="Arial" w:hAnsi="Arial" w:cs="Arial"/>
          <w:sz w:val="24"/>
          <w:szCs w:val="24"/>
        </w:rPr>
        <w:t xml:space="preserve">SUPLENTE </w:t>
      </w:r>
      <w:r w:rsidR="00FD07E8" w:rsidRPr="00FD07E8">
        <w:rPr>
          <w:rFonts w:ascii="Arial" w:eastAsia="Arial" w:hAnsi="Arial" w:cs="Arial"/>
          <w:sz w:val="24"/>
          <w:szCs w:val="24"/>
        </w:rPr>
        <w:t>DEL PARTIDO ACCIÓN NACIONAL Y DE LA COALICIÓN “VA POR AGUASCALIENTES”</w:t>
      </w:r>
      <w:r w:rsidR="00584AFC">
        <w:rPr>
          <w:rFonts w:ascii="Arial" w:eastAsia="Arial" w:hAnsi="Arial" w:cs="Arial"/>
          <w:sz w:val="24"/>
          <w:szCs w:val="24"/>
        </w:rPr>
        <w:t>.</w:t>
      </w:r>
      <w:r w:rsidR="00FD07E8">
        <w:rPr>
          <w:rFonts w:ascii="Arial" w:eastAsia="Arial" w:hAnsi="Arial" w:cs="Arial"/>
          <w:sz w:val="24"/>
          <w:szCs w:val="24"/>
        </w:rPr>
        <w:t xml:space="preserve"> </w:t>
      </w:r>
    </w:p>
    <w:p w14:paraId="3DC3BA67" w14:textId="77777777" w:rsidR="00AF4AAD" w:rsidRDefault="003D4366">
      <w:pPr>
        <w:spacing w:before="120" w:after="120"/>
        <w:ind w:left="4395"/>
        <w:jc w:val="both"/>
        <w:rPr>
          <w:rFonts w:ascii="Arial" w:eastAsia="Arial" w:hAnsi="Arial" w:cs="Arial"/>
          <w:sz w:val="24"/>
          <w:szCs w:val="24"/>
        </w:rPr>
      </w:pPr>
      <w:r>
        <w:rPr>
          <w:rFonts w:ascii="Arial" w:eastAsia="Arial" w:hAnsi="Arial" w:cs="Arial"/>
          <w:b/>
          <w:sz w:val="24"/>
          <w:szCs w:val="24"/>
        </w:rPr>
        <w:t xml:space="preserve">AUTORIDAD RESPONSABLE: </w:t>
      </w:r>
      <w:r>
        <w:rPr>
          <w:rFonts w:ascii="Arial" w:eastAsia="Arial" w:hAnsi="Arial" w:cs="Arial"/>
          <w:sz w:val="24"/>
          <w:szCs w:val="24"/>
        </w:rPr>
        <w:t>SECRETARIO EJECUTIVO DEL CONSEJO GENERAL DEL INSTITUTO ESTATAL ELECTORAL.</w:t>
      </w:r>
    </w:p>
    <w:p w14:paraId="18D2CC93" w14:textId="77777777" w:rsidR="00AF4AAD" w:rsidRDefault="003D4366">
      <w:pPr>
        <w:spacing w:before="120" w:after="120"/>
        <w:ind w:left="4395"/>
        <w:jc w:val="both"/>
        <w:rPr>
          <w:rFonts w:ascii="Arial" w:eastAsia="Arial" w:hAnsi="Arial" w:cs="Arial"/>
          <w:sz w:val="24"/>
          <w:szCs w:val="24"/>
        </w:rPr>
      </w:pPr>
      <w:r>
        <w:rPr>
          <w:rFonts w:ascii="Arial" w:eastAsia="Arial" w:hAnsi="Arial" w:cs="Arial"/>
          <w:b/>
          <w:sz w:val="24"/>
          <w:szCs w:val="24"/>
        </w:rPr>
        <w:t>MAGISTRADA PONENTE:</w:t>
      </w:r>
      <w:r>
        <w:rPr>
          <w:rFonts w:ascii="Arial" w:eastAsia="Arial" w:hAnsi="Arial" w:cs="Arial"/>
          <w:sz w:val="24"/>
          <w:szCs w:val="24"/>
        </w:rPr>
        <w:t xml:space="preserve"> LAURA HORTENSIA LLAMAS HERNÁNDEZ.</w:t>
      </w:r>
    </w:p>
    <w:p w14:paraId="69FEDDFE" w14:textId="77777777" w:rsidR="00AF4AAD" w:rsidRDefault="003D4366">
      <w:pPr>
        <w:spacing w:before="120" w:after="120"/>
        <w:ind w:left="4395"/>
        <w:jc w:val="both"/>
        <w:rPr>
          <w:rFonts w:ascii="Arial" w:eastAsia="Arial" w:hAnsi="Arial" w:cs="Arial"/>
          <w:sz w:val="24"/>
          <w:szCs w:val="24"/>
        </w:rPr>
      </w:pPr>
      <w:r>
        <w:rPr>
          <w:rFonts w:ascii="Arial" w:eastAsia="Arial" w:hAnsi="Arial" w:cs="Arial"/>
          <w:b/>
          <w:sz w:val="24"/>
          <w:szCs w:val="24"/>
        </w:rPr>
        <w:t>SECRETARIO DE ESTUDIO</w:t>
      </w:r>
      <w:r>
        <w:rPr>
          <w:rFonts w:ascii="Arial" w:eastAsia="Arial" w:hAnsi="Arial" w:cs="Arial"/>
          <w:b/>
          <w:sz w:val="24"/>
          <w:szCs w:val="24"/>
          <w:vertAlign w:val="superscript"/>
        </w:rPr>
        <w:footnoteReference w:id="1"/>
      </w:r>
      <w:r>
        <w:rPr>
          <w:rFonts w:ascii="Arial" w:eastAsia="Arial" w:hAnsi="Arial" w:cs="Arial"/>
          <w:b/>
          <w:sz w:val="24"/>
          <w:szCs w:val="24"/>
        </w:rPr>
        <w:t xml:space="preserve">: </w:t>
      </w:r>
      <w:r>
        <w:rPr>
          <w:rFonts w:ascii="Arial" w:eastAsia="Arial" w:hAnsi="Arial" w:cs="Arial"/>
          <w:sz w:val="24"/>
          <w:szCs w:val="24"/>
        </w:rPr>
        <w:t>EDGAR ALEJANDRO LÓPEZ DÁVILA.</w:t>
      </w:r>
    </w:p>
    <w:p w14:paraId="71975B1F" w14:textId="77777777" w:rsidR="00AF4AAD" w:rsidRDefault="003D4366">
      <w:pPr>
        <w:spacing w:before="120" w:after="120"/>
        <w:ind w:left="4395"/>
        <w:jc w:val="both"/>
        <w:rPr>
          <w:rFonts w:ascii="Arial" w:eastAsia="Arial" w:hAnsi="Arial" w:cs="Arial"/>
          <w:sz w:val="24"/>
          <w:szCs w:val="24"/>
        </w:rPr>
      </w:pPr>
      <w:r>
        <w:rPr>
          <w:rFonts w:ascii="Arial" w:eastAsia="Arial" w:hAnsi="Arial" w:cs="Arial"/>
          <w:b/>
          <w:sz w:val="24"/>
          <w:szCs w:val="24"/>
        </w:rPr>
        <w:t>COLABORÓ:</w:t>
      </w:r>
      <w:r>
        <w:rPr>
          <w:rFonts w:ascii="Arial" w:eastAsia="Arial" w:hAnsi="Arial" w:cs="Arial"/>
          <w:sz w:val="24"/>
          <w:szCs w:val="24"/>
        </w:rPr>
        <w:t xml:space="preserve"> GUADALUPE JOCELYN MARTÍNEZ TAVAREZ E IVONNE AZUCENA ZAVALA SOTO. </w:t>
      </w:r>
    </w:p>
    <w:p w14:paraId="568FAC25" w14:textId="77777777" w:rsidR="00AF4AAD" w:rsidRDefault="00AF4AAD">
      <w:pPr>
        <w:pBdr>
          <w:top w:val="nil"/>
          <w:left w:val="nil"/>
          <w:bottom w:val="nil"/>
          <w:right w:val="nil"/>
          <w:between w:val="nil"/>
        </w:pBdr>
        <w:jc w:val="both"/>
        <w:rPr>
          <w:rFonts w:ascii="Arial" w:eastAsia="Arial" w:hAnsi="Arial" w:cs="Arial"/>
          <w:color w:val="000000"/>
          <w:sz w:val="16"/>
          <w:szCs w:val="16"/>
        </w:rPr>
      </w:pPr>
    </w:p>
    <w:p w14:paraId="60CBF941" w14:textId="3608DF18" w:rsidR="00AF4AAD" w:rsidRDefault="003D4366">
      <w:pPr>
        <w:spacing w:line="360" w:lineRule="auto"/>
        <w:jc w:val="right"/>
        <w:rPr>
          <w:rFonts w:ascii="Arial" w:eastAsia="Arial" w:hAnsi="Arial" w:cs="Arial"/>
          <w:sz w:val="24"/>
          <w:szCs w:val="24"/>
        </w:rPr>
      </w:pPr>
      <w:r>
        <w:rPr>
          <w:rFonts w:ascii="Arial" w:eastAsia="Arial" w:hAnsi="Arial" w:cs="Arial"/>
          <w:sz w:val="24"/>
          <w:szCs w:val="24"/>
        </w:rPr>
        <w:t>Aguascalientes, Aguascalientes, a 2</w:t>
      </w:r>
      <w:r w:rsidR="00743613">
        <w:rPr>
          <w:rFonts w:ascii="Arial" w:eastAsia="Arial" w:hAnsi="Arial" w:cs="Arial"/>
          <w:sz w:val="24"/>
          <w:szCs w:val="24"/>
        </w:rPr>
        <w:t>8</w:t>
      </w:r>
      <w:r>
        <w:rPr>
          <w:rFonts w:ascii="Arial" w:eastAsia="Arial" w:hAnsi="Arial" w:cs="Arial"/>
          <w:sz w:val="24"/>
          <w:szCs w:val="24"/>
        </w:rPr>
        <w:t xml:space="preserve"> de abril de 2022.</w:t>
      </w:r>
    </w:p>
    <w:p w14:paraId="0C262F73" w14:textId="77777777" w:rsidR="00AF4AAD" w:rsidRDefault="00AF4AAD">
      <w:pPr>
        <w:pBdr>
          <w:top w:val="nil"/>
          <w:left w:val="nil"/>
          <w:bottom w:val="nil"/>
          <w:right w:val="nil"/>
          <w:between w:val="nil"/>
        </w:pBdr>
        <w:rPr>
          <w:color w:val="000000"/>
          <w:sz w:val="24"/>
          <w:szCs w:val="24"/>
        </w:rPr>
      </w:pPr>
    </w:p>
    <w:p w14:paraId="2FF6F36B" w14:textId="70183C26" w:rsidR="00AF4AAD" w:rsidRDefault="003D4366">
      <w:pPr>
        <w:spacing w:line="360" w:lineRule="auto"/>
        <w:jc w:val="both"/>
        <w:rPr>
          <w:rFonts w:ascii="Arial" w:eastAsia="Arial" w:hAnsi="Arial" w:cs="Arial"/>
          <w:sz w:val="24"/>
          <w:szCs w:val="24"/>
        </w:rPr>
      </w:pPr>
      <w:r>
        <w:rPr>
          <w:rFonts w:ascii="Arial" w:eastAsia="Arial" w:hAnsi="Arial" w:cs="Arial"/>
          <w:b/>
          <w:sz w:val="24"/>
          <w:szCs w:val="24"/>
        </w:rPr>
        <w:t>Sentencia</w:t>
      </w:r>
      <w:r>
        <w:rPr>
          <w:rFonts w:ascii="Arial" w:eastAsia="Arial" w:hAnsi="Arial" w:cs="Arial"/>
          <w:sz w:val="24"/>
          <w:szCs w:val="24"/>
        </w:rPr>
        <w:t xml:space="preserve"> </w:t>
      </w:r>
      <w:r>
        <w:rPr>
          <w:rFonts w:ascii="Arial" w:eastAsia="Arial" w:hAnsi="Arial" w:cs="Arial"/>
          <w:b/>
          <w:sz w:val="24"/>
          <w:szCs w:val="24"/>
        </w:rPr>
        <w:t>del Tribunal Electoral</w:t>
      </w:r>
      <w:r>
        <w:rPr>
          <w:rFonts w:ascii="Arial" w:eastAsia="Arial" w:hAnsi="Arial" w:cs="Arial"/>
          <w:sz w:val="24"/>
          <w:szCs w:val="24"/>
        </w:rPr>
        <w:t xml:space="preserve"> que </w:t>
      </w:r>
      <w:r>
        <w:rPr>
          <w:rFonts w:ascii="Arial" w:eastAsia="Arial" w:hAnsi="Arial" w:cs="Arial"/>
          <w:b/>
          <w:sz w:val="24"/>
          <w:szCs w:val="24"/>
        </w:rPr>
        <w:t>revoca</w:t>
      </w:r>
      <w:r>
        <w:rPr>
          <w:rFonts w:ascii="Arial" w:eastAsia="Arial" w:hAnsi="Arial" w:cs="Arial"/>
          <w:sz w:val="24"/>
          <w:szCs w:val="24"/>
        </w:rPr>
        <w:t xml:space="preserve"> el acuerdo del </w:t>
      </w:r>
      <w:proofErr w:type="gramStart"/>
      <w:r>
        <w:rPr>
          <w:rFonts w:ascii="Arial" w:eastAsia="Arial" w:hAnsi="Arial" w:cs="Arial"/>
          <w:sz w:val="24"/>
          <w:szCs w:val="24"/>
        </w:rPr>
        <w:t>Secretario Ejecutivo</w:t>
      </w:r>
      <w:proofErr w:type="gramEnd"/>
      <w:r>
        <w:rPr>
          <w:rFonts w:ascii="Arial" w:eastAsia="Arial" w:hAnsi="Arial" w:cs="Arial"/>
          <w:sz w:val="24"/>
          <w:szCs w:val="24"/>
        </w:rPr>
        <w:t xml:space="preserve"> en el que desechó la denuncia que presentó el representante del PAN ante el Consejo General del Instituto Local, en la cual cuestionó la existencia de calumnia en contra de su instituto político y de su candidata postulada para e</w:t>
      </w:r>
      <w:r w:rsidR="00F15311">
        <w:rPr>
          <w:rFonts w:ascii="Arial" w:eastAsia="Arial" w:hAnsi="Arial" w:cs="Arial"/>
          <w:sz w:val="24"/>
          <w:szCs w:val="24"/>
        </w:rPr>
        <w:t>l</w:t>
      </w:r>
      <w:r>
        <w:rPr>
          <w:rFonts w:ascii="Arial" w:eastAsia="Arial" w:hAnsi="Arial" w:cs="Arial"/>
          <w:sz w:val="24"/>
          <w:szCs w:val="24"/>
        </w:rPr>
        <w:t xml:space="preserve"> proceso electoral de gubernatura en Aguascalientes. </w:t>
      </w:r>
    </w:p>
    <w:p w14:paraId="2FE522E5" w14:textId="77777777" w:rsidR="00AF4AAD" w:rsidRDefault="00AF4AAD">
      <w:pPr>
        <w:jc w:val="both"/>
        <w:rPr>
          <w:rFonts w:ascii="Arial" w:eastAsia="Arial" w:hAnsi="Arial" w:cs="Arial"/>
          <w:sz w:val="24"/>
          <w:szCs w:val="24"/>
        </w:rPr>
      </w:pPr>
    </w:p>
    <w:p w14:paraId="04786890" w14:textId="77777777" w:rsidR="00AF4AAD" w:rsidRDefault="003D4366">
      <w:pPr>
        <w:spacing w:line="360" w:lineRule="auto"/>
        <w:jc w:val="both"/>
        <w:rPr>
          <w:rFonts w:ascii="Arial" w:eastAsia="Arial" w:hAnsi="Arial" w:cs="Arial"/>
          <w:sz w:val="24"/>
          <w:szCs w:val="24"/>
        </w:rPr>
      </w:pPr>
      <w:r>
        <w:rPr>
          <w:rFonts w:ascii="Arial" w:eastAsia="Arial" w:hAnsi="Arial" w:cs="Arial"/>
          <w:sz w:val="24"/>
          <w:szCs w:val="24"/>
        </w:rPr>
        <w:t>Lo anterior, porque este órgano jurisdiccional estima que, distinto a lo que sostuvo la autoridad responsable,</w:t>
      </w:r>
      <w:r>
        <w:rPr>
          <w:rFonts w:ascii="Arial" w:eastAsia="Arial" w:hAnsi="Arial" w:cs="Arial"/>
          <w:b/>
          <w:sz w:val="24"/>
          <w:szCs w:val="24"/>
        </w:rPr>
        <w:t xml:space="preserve"> los partidos políticos sí cuentan con legitimación</w:t>
      </w:r>
      <w:r>
        <w:rPr>
          <w:rFonts w:ascii="Arial" w:eastAsia="Arial" w:hAnsi="Arial" w:cs="Arial"/>
          <w:sz w:val="24"/>
          <w:szCs w:val="24"/>
        </w:rPr>
        <w:t xml:space="preserve"> </w:t>
      </w:r>
      <w:r>
        <w:rPr>
          <w:rFonts w:ascii="Arial" w:eastAsia="Arial" w:hAnsi="Arial" w:cs="Arial"/>
          <w:b/>
          <w:sz w:val="24"/>
          <w:szCs w:val="24"/>
        </w:rPr>
        <w:t>para denunciar calumnia</w:t>
      </w:r>
      <w:r>
        <w:rPr>
          <w:rFonts w:ascii="Arial" w:eastAsia="Arial" w:hAnsi="Arial" w:cs="Arial"/>
          <w:sz w:val="24"/>
          <w:szCs w:val="24"/>
        </w:rPr>
        <w:t xml:space="preserve"> en contra de sus integrantes, tales como candidaturas, en atención a la existencia del vínculo indisoluble que existe entre estos; </w:t>
      </w:r>
      <w:bookmarkStart w:id="1" w:name="_Hlk102044562"/>
      <w:r>
        <w:rPr>
          <w:rFonts w:ascii="Arial" w:eastAsia="Arial" w:hAnsi="Arial" w:cs="Arial"/>
          <w:sz w:val="24"/>
          <w:szCs w:val="24"/>
        </w:rPr>
        <w:t>con independencia de que en la normativa local se prevea que tal infracción únicamente puede ser cuestionada por la parte afectada, pues la extensión de tal criterio, es resultado de una línea judicial sostenida por la Sala Superior, que debe ser observada tanto por las autoridades administrativas como jurisdiccionales en la materia, al tratarse de una fuente de derecho útil para esclarecer supuestos jurídicos idénticos o similares.</w:t>
      </w:r>
      <w:bookmarkEnd w:id="1"/>
    </w:p>
    <w:p w14:paraId="1A5006B9" w14:textId="77777777" w:rsidR="00AF4AAD" w:rsidRDefault="00AF4AAD">
      <w:pPr>
        <w:pBdr>
          <w:top w:val="nil"/>
          <w:left w:val="nil"/>
          <w:bottom w:val="nil"/>
          <w:right w:val="nil"/>
          <w:between w:val="nil"/>
        </w:pBdr>
        <w:rPr>
          <w:color w:val="000000"/>
          <w:sz w:val="16"/>
          <w:szCs w:val="16"/>
        </w:rPr>
      </w:pPr>
    </w:p>
    <w:p w14:paraId="0B1EB9B5" w14:textId="77777777" w:rsidR="00AF4AAD" w:rsidRDefault="003D4366">
      <w:pPr>
        <w:keepNext/>
        <w:keepLines/>
        <w:pBdr>
          <w:top w:val="nil"/>
          <w:left w:val="nil"/>
          <w:bottom w:val="nil"/>
          <w:right w:val="nil"/>
          <w:between w:val="nil"/>
        </w:pBdr>
        <w:ind w:left="1134" w:right="899"/>
        <w:jc w:val="center"/>
        <w:rPr>
          <w:rFonts w:ascii="Arial" w:eastAsia="Arial" w:hAnsi="Arial" w:cs="Arial"/>
          <w:b/>
          <w:color w:val="000000"/>
          <w:sz w:val="16"/>
          <w:szCs w:val="16"/>
        </w:rPr>
      </w:pPr>
      <w:r>
        <w:rPr>
          <w:rFonts w:ascii="Arial" w:eastAsia="Arial" w:hAnsi="Arial" w:cs="Arial"/>
          <w:b/>
          <w:color w:val="000000"/>
          <w:sz w:val="16"/>
          <w:szCs w:val="16"/>
        </w:rPr>
        <w:t>Índice</w:t>
      </w:r>
    </w:p>
    <w:sdt>
      <w:sdtPr>
        <w:id w:val="380210774"/>
        <w:docPartObj>
          <w:docPartGallery w:val="Table of Contents"/>
          <w:docPartUnique/>
        </w:docPartObj>
      </w:sdtPr>
      <w:sdtEndPr/>
      <w:sdtContent>
        <w:p w14:paraId="34C707B5" w14:textId="77777777" w:rsidR="00AF4AAD" w:rsidRDefault="003D4366">
          <w:pPr>
            <w:pBdr>
              <w:top w:val="nil"/>
              <w:left w:val="nil"/>
              <w:bottom w:val="nil"/>
              <w:right w:val="nil"/>
              <w:between w:val="nil"/>
            </w:pBdr>
            <w:tabs>
              <w:tab w:val="right" w:pos="9678"/>
            </w:tabs>
            <w:ind w:left="709"/>
            <w:rPr>
              <w:rFonts w:ascii="Arial" w:eastAsia="Arial" w:hAnsi="Arial" w:cs="Arial"/>
              <w:color w:val="0000FF"/>
              <w:sz w:val="16"/>
              <w:szCs w:val="16"/>
              <w:u w:val="single"/>
            </w:rPr>
          </w:pPr>
          <w:r>
            <w:fldChar w:fldCharType="begin"/>
          </w:r>
          <w:r>
            <w:instrText xml:space="preserve"> TOC \h \u \z </w:instrText>
          </w:r>
          <w:r>
            <w:fldChar w:fldCharType="separate"/>
          </w:r>
          <w:hyperlink w:anchor="_heading=h.26in1rg">
            <w:r w:rsidRPr="00FD07E8">
              <w:rPr>
                <w:rFonts w:ascii="Arial" w:eastAsia="Arial" w:hAnsi="Arial" w:cs="Arial"/>
                <w:b/>
                <w:bCs/>
                <w:color w:val="000000"/>
                <w:sz w:val="16"/>
                <w:szCs w:val="16"/>
              </w:rPr>
              <w:t>Glosario</w:t>
            </w:r>
            <w:r>
              <w:rPr>
                <w:rFonts w:ascii="Arial" w:eastAsia="Arial" w:hAnsi="Arial" w:cs="Arial"/>
                <w:color w:val="000000"/>
                <w:sz w:val="16"/>
                <w:szCs w:val="16"/>
              </w:rPr>
              <w:t>……………………………………………………………………………………………….</w:t>
            </w:r>
          </w:hyperlink>
          <w:r>
            <w:rPr>
              <w:rFonts w:ascii="Arial" w:eastAsia="Arial" w:hAnsi="Arial" w:cs="Arial"/>
              <w:color w:val="000000"/>
              <w:sz w:val="16"/>
              <w:szCs w:val="16"/>
            </w:rPr>
            <w:t>..................................1</w:t>
          </w:r>
        </w:p>
        <w:p w14:paraId="527F7203" w14:textId="402D6BF5" w:rsidR="00AF4AAD" w:rsidRDefault="003F2351">
          <w:pPr>
            <w:ind w:left="709"/>
            <w:rPr>
              <w:rFonts w:ascii="Arial" w:eastAsia="Arial" w:hAnsi="Arial" w:cs="Arial"/>
              <w:sz w:val="16"/>
              <w:szCs w:val="16"/>
            </w:rPr>
          </w:pPr>
          <w:r>
            <w:rPr>
              <w:rFonts w:ascii="Arial" w:eastAsia="Arial" w:hAnsi="Arial" w:cs="Arial"/>
              <w:b/>
              <w:bCs/>
              <w:sz w:val="16"/>
              <w:szCs w:val="16"/>
            </w:rPr>
            <w:t>Contexto del caso…</w:t>
          </w:r>
          <w:r w:rsidR="003D4366">
            <w:rPr>
              <w:rFonts w:ascii="Arial" w:eastAsia="Arial" w:hAnsi="Arial" w:cs="Arial"/>
              <w:sz w:val="16"/>
              <w:szCs w:val="16"/>
            </w:rPr>
            <w:t>………………………………………………………………………………………………………….2</w:t>
          </w:r>
        </w:p>
        <w:p w14:paraId="7E45ACF6" w14:textId="086FDB53" w:rsidR="00AF4AAD" w:rsidRDefault="003D4366">
          <w:pPr>
            <w:ind w:left="709" w:right="-93"/>
            <w:rPr>
              <w:rFonts w:ascii="Arial" w:eastAsia="Arial" w:hAnsi="Arial" w:cs="Arial"/>
              <w:sz w:val="16"/>
              <w:szCs w:val="16"/>
            </w:rPr>
          </w:pPr>
          <w:r w:rsidRPr="00FD07E8">
            <w:rPr>
              <w:rFonts w:ascii="Arial" w:eastAsia="Arial" w:hAnsi="Arial" w:cs="Arial"/>
              <w:b/>
              <w:bCs/>
              <w:sz w:val="16"/>
              <w:szCs w:val="16"/>
            </w:rPr>
            <w:t>Competencia</w:t>
          </w:r>
          <w:r>
            <w:rPr>
              <w:rFonts w:ascii="Arial" w:eastAsia="Arial" w:hAnsi="Arial" w:cs="Arial"/>
              <w:sz w:val="16"/>
              <w:szCs w:val="16"/>
            </w:rPr>
            <w:t>…………………………………………………………………………………………………………………..</w:t>
          </w:r>
          <w:r w:rsidR="003F2351">
            <w:rPr>
              <w:rFonts w:ascii="Arial" w:eastAsia="Arial" w:hAnsi="Arial" w:cs="Arial"/>
              <w:sz w:val="16"/>
              <w:szCs w:val="16"/>
            </w:rPr>
            <w:t>3</w:t>
          </w:r>
        </w:p>
        <w:p w14:paraId="463DBD6B" w14:textId="58FBF118" w:rsidR="003F2351" w:rsidRDefault="003F2351">
          <w:pPr>
            <w:ind w:left="709" w:right="-93"/>
            <w:rPr>
              <w:rFonts w:ascii="Arial" w:eastAsia="Arial" w:hAnsi="Arial" w:cs="Arial"/>
              <w:sz w:val="16"/>
              <w:szCs w:val="16"/>
            </w:rPr>
          </w:pPr>
          <w:r w:rsidRPr="003F2351">
            <w:rPr>
              <w:rFonts w:ascii="Arial" w:eastAsia="Arial" w:hAnsi="Arial" w:cs="Arial"/>
              <w:b/>
              <w:bCs/>
              <w:sz w:val="16"/>
              <w:szCs w:val="16"/>
            </w:rPr>
            <w:t>Procedencia</w:t>
          </w:r>
          <w:r>
            <w:rPr>
              <w:rFonts w:ascii="Arial" w:eastAsia="Arial" w:hAnsi="Arial" w:cs="Arial"/>
              <w:sz w:val="16"/>
              <w:szCs w:val="16"/>
            </w:rPr>
            <w:t>…………………………………………………………………………………………..……………………….3</w:t>
          </w:r>
        </w:p>
        <w:p w14:paraId="52094B55" w14:textId="37718136" w:rsidR="00AF4AAD" w:rsidRDefault="0046052E">
          <w:pPr>
            <w:pBdr>
              <w:top w:val="nil"/>
              <w:left w:val="nil"/>
              <w:bottom w:val="nil"/>
              <w:right w:val="nil"/>
              <w:between w:val="nil"/>
            </w:pBdr>
            <w:tabs>
              <w:tab w:val="right" w:pos="9678"/>
            </w:tabs>
            <w:ind w:left="709"/>
            <w:rPr>
              <w:rFonts w:ascii="Arial" w:eastAsia="Arial" w:hAnsi="Arial" w:cs="Arial"/>
              <w:color w:val="000000"/>
              <w:sz w:val="16"/>
              <w:szCs w:val="16"/>
            </w:rPr>
          </w:pPr>
          <w:hyperlink w:anchor="_heading=h.3znysh7">
            <w:r w:rsidR="003D4366" w:rsidRPr="00FD07E8">
              <w:rPr>
                <w:rFonts w:ascii="Arial" w:eastAsia="Arial" w:hAnsi="Arial" w:cs="Arial"/>
                <w:b/>
                <w:bCs/>
                <w:color w:val="000000"/>
                <w:sz w:val="16"/>
                <w:szCs w:val="16"/>
              </w:rPr>
              <w:t>Estudio de fondo</w:t>
            </w:r>
            <w:r w:rsidR="003D4366" w:rsidRPr="00FD07E8">
              <w:rPr>
                <w:rFonts w:ascii="Arial" w:eastAsia="Arial" w:hAnsi="Arial" w:cs="Arial"/>
                <w:color w:val="000000"/>
                <w:sz w:val="16"/>
                <w:szCs w:val="16"/>
              </w:rPr>
              <w:t>…………………………………………………………………………………..…………………….......</w:t>
            </w:r>
            <w:r w:rsidR="003D4366" w:rsidRPr="00FD07E8">
              <w:rPr>
                <w:rFonts w:ascii="Arial" w:eastAsia="Arial" w:hAnsi="Arial" w:cs="Arial"/>
                <w:color w:val="000000"/>
                <w:sz w:val="10"/>
                <w:szCs w:val="10"/>
              </w:rPr>
              <w:t>.</w:t>
            </w:r>
          </w:hyperlink>
          <w:hyperlink w:anchor="_heading=h.3znysh7">
            <w:r w:rsidR="003D4366">
              <w:rPr>
                <w:rFonts w:ascii="Arial" w:eastAsia="Arial" w:hAnsi="Arial" w:cs="Arial"/>
                <w:color w:val="000000"/>
                <w:sz w:val="16"/>
                <w:szCs w:val="16"/>
              </w:rPr>
              <w:t>4</w:t>
            </w:r>
          </w:hyperlink>
        </w:p>
        <w:p w14:paraId="499BE05C" w14:textId="2E9C13C5" w:rsidR="00AF4AAD" w:rsidRDefault="0046052E">
          <w:pPr>
            <w:pBdr>
              <w:top w:val="nil"/>
              <w:left w:val="nil"/>
              <w:bottom w:val="nil"/>
              <w:right w:val="nil"/>
              <w:between w:val="nil"/>
            </w:pBdr>
            <w:tabs>
              <w:tab w:val="right" w:pos="9678"/>
            </w:tabs>
            <w:ind w:left="709"/>
            <w:rPr>
              <w:rFonts w:ascii="Arial" w:eastAsia="Arial" w:hAnsi="Arial" w:cs="Arial"/>
              <w:color w:val="000000"/>
              <w:sz w:val="16"/>
              <w:szCs w:val="16"/>
            </w:rPr>
          </w:pPr>
          <w:hyperlink w:anchor="_heading=h.2et92p0">
            <w:r w:rsidR="003D4366">
              <w:rPr>
                <w:rFonts w:ascii="Arial" w:eastAsia="Arial" w:hAnsi="Arial" w:cs="Arial"/>
                <w:color w:val="000000"/>
                <w:sz w:val="16"/>
                <w:szCs w:val="16"/>
              </w:rPr>
              <w:t>Apartado preliminar. Definición de la materia de la controversia……………………………………………………….</w:t>
            </w:r>
            <w:r w:rsidR="00FD07E8">
              <w:rPr>
                <w:rFonts w:ascii="Arial" w:eastAsia="Arial" w:hAnsi="Arial" w:cs="Arial"/>
                <w:color w:val="000000"/>
                <w:sz w:val="16"/>
                <w:szCs w:val="16"/>
              </w:rPr>
              <w:t>.</w:t>
            </w:r>
            <w:r w:rsidR="003D4366" w:rsidRPr="00FD07E8">
              <w:rPr>
                <w:rFonts w:ascii="Arial" w:eastAsia="Arial" w:hAnsi="Arial" w:cs="Arial"/>
                <w:color w:val="000000"/>
                <w:sz w:val="16"/>
                <w:szCs w:val="16"/>
              </w:rPr>
              <w:t>.</w:t>
            </w:r>
            <w:r w:rsidR="00FD07E8" w:rsidRPr="00FD07E8">
              <w:rPr>
                <w:rFonts w:ascii="Arial" w:eastAsia="Arial" w:hAnsi="Arial" w:cs="Arial"/>
                <w:color w:val="000000"/>
                <w:sz w:val="6"/>
                <w:szCs w:val="6"/>
              </w:rPr>
              <w:t>.</w:t>
            </w:r>
            <w:r w:rsidR="003D4366">
              <w:rPr>
                <w:rFonts w:ascii="Arial" w:eastAsia="Arial" w:hAnsi="Arial" w:cs="Arial"/>
                <w:color w:val="000000"/>
                <w:sz w:val="16"/>
                <w:szCs w:val="16"/>
              </w:rPr>
              <w:t>4</w:t>
            </w:r>
          </w:hyperlink>
        </w:p>
        <w:p w14:paraId="7BFAF326" w14:textId="1D33827C" w:rsidR="00AF4AAD" w:rsidRDefault="0046052E">
          <w:pPr>
            <w:pBdr>
              <w:top w:val="nil"/>
              <w:left w:val="nil"/>
              <w:bottom w:val="nil"/>
              <w:right w:val="nil"/>
              <w:between w:val="nil"/>
            </w:pBdr>
            <w:tabs>
              <w:tab w:val="right" w:pos="9678"/>
            </w:tabs>
            <w:ind w:left="709"/>
            <w:rPr>
              <w:rFonts w:ascii="Arial" w:eastAsia="Arial" w:hAnsi="Arial" w:cs="Arial"/>
              <w:color w:val="000000"/>
              <w:sz w:val="16"/>
              <w:szCs w:val="16"/>
            </w:rPr>
          </w:pPr>
          <w:hyperlink w:anchor="_heading=h.1t3h5sf">
            <w:r w:rsidR="003D4366">
              <w:rPr>
                <w:rFonts w:ascii="Arial" w:eastAsia="Arial" w:hAnsi="Arial" w:cs="Arial"/>
                <w:color w:val="000000"/>
                <w:sz w:val="16"/>
                <w:szCs w:val="16"/>
              </w:rPr>
              <w:t>Apartado I. Decisión………………………………………………………………………………………………………….</w:t>
            </w:r>
          </w:hyperlink>
          <w:r w:rsidR="00FD07E8">
            <w:rPr>
              <w:rFonts w:ascii="Arial" w:eastAsia="Arial" w:hAnsi="Arial" w:cs="Arial"/>
              <w:color w:val="000000"/>
              <w:sz w:val="16"/>
              <w:szCs w:val="16"/>
            </w:rPr>
            <w:t>..</w:t>
          </w:r>
          <w:hyperlink w:anchor="_heading=h.1t3h5sf">
            <w:r w:rsidR="003F2351">
              <w:rPr>
                <w:rFonts w:ascii="Arial" w:eastAsia="Arial" w:hAnsi="Arial" w:cs="Arial"/>
                <w:color w:val="000000"/>
                <w:sz w:val="16"/>
                <w:szCs w:val="16"/>
              </w:rPr>
              <w:t>4</w:t>
            </w:r>
          </w:hyperlink>
        </w:p>
        <w:p w14:paraId="654EEED1" w14:textId="0D90553C" w:rsidR="00AF4AAD" w:rsidRDefault="0046052E">
          <w:pPr>
            <w:pBdr>
              <w:top w:val="nil"/>
              <w:left w:val="nil"/>
              <w:bottom w:val="nil"/>
              <w:right w:val="nil"/>
              <w:between w:val="nil"/>
            </w:pBdr>
            <w:tabs>
              <w:tab w:val="right" w:pos="9678"/>
            </w:tabs>
            <w:ind w:left="709"/>
            <w:rPr>
              <w:rFonts w:ascii="Arial" w:eastAsia="Arial" w:hAnsi="Arial" w:cs="Arial"/>
              <w:color w:val="000000"/>
              <w:sz w:val="16"/>
              <w:szCs w:val="16"/>
            </w:rPr>
          </w:pPr>
          <w:hyperlink w:anchor="_heading=h.2s8eyo1">
            <w:r w:rsidR="003D4366">
              <w:rPr>
                <w:rFonts w:ascii="Arial" w:eastAsia="Arial" w:hAnsi="Arial" w:cs="Arial"/>
                <w:color w:val="000000"/>
                <w:sz w:val="16"/>
                <w:szCs w:val="16"/>
              </w:rPr>
              <w:t>Apartado II. Desarrollo y justificación de la decisión……………………………………………………………………</w:t>
            </w:r>
            <w:r w:rsidR="00FD07E8">
              <w:rPr>
                <w:rFonts w:ascii="Arial" w:eastAsia="Arial" w:hAnsi="Arial" w:cs="Arial"/>
                <w:color w:val="000000"/>
                <w:sz w:val="16"/>
                <w:szCs w:val="16"/>
              </w:rPr>
              <w:t>…</w:t>
            </w:r>
            <w:r w:rsidR="003D4366" w:rsidRPr="00FD07E8">
              <w:rPr>
                <w:rFonts w:ascii="Arial" w:eastAsia="Arial" w:hAnsi="Arial" w:cs="Arial"/>
                <w:color w:val="000000"/>
                <w:sz w:val="12"/>
                <w:szCs w:val="12"/>
              </w:rPr>
              <w:t>.</w:t>
            </w:r>
          </w:hyperlink>
          <w:r w:rsidR="003F2351">
            <w:rPr>
              <w:rFonts w:ascii="Arial" w:eastAsia="Arial" w:hAnsi="Arial" w:cs="Arial"/>
              <w:color w:val="000000"/>
              <w:sz w:val="16"/>
              <w:szCs w:val="16"/>
            </w:rPr>
            <w:t>5</w:t>
          </w:r>
        </w:p>
        <w:p w14:paraId="202CA510" w14:textId="1ED2AFB8" w:rsidR="00AF4AAD" w:rsidRDefault="0046052E">
          <w:pPr>
            <w:pBdr>
              <w:top w:val="nil"/>
              <w:left w:val="nil"/>
              <w:bottom w:val="nil"/>
              <w:right w:val="nil"/>
              <w:between w:val="nil"/>
            </w:pBdr>
            <w:tabs>
              <w:tab w:val="right" w:pos="9678"/>
            </w:tabs>
            <w:ind w:left="709"/>
            <w:rPr>
              <w:rFonts w:ascii="Arial" w:eastAsia="Arial" w:hAnsi="Arial" w:cs="Arial"/>
              <w:color w:val="000000"/>
              <w:sz w:val="16"/>
              <w:szCs w:val="16"/>
            </w:rPr>
          </w:pPr>
          <w:hyperlink w:anchor="_heading=h.3rdcrjn">
            <w:r w:rsidR="003D4366" w:rsidRPr="00FD07E8">
              <w:rPr>
                <w:rFonts w:ascii="Arial" w:eastAsia="Arial" w:hAnsi="Arial" w:cs="Arial"/>
                <w:b/>
                <w:bCs/>
                <w:color w:val="000000"/>
                <w:sz w:val="16"/>
                <w:szCs w:val="16"/>
              </w:rPr>
              <w:t xml:space="preserve">Resuelve. </w:t>
            </w:r>
            <w:r w:rsidR="003D4366" w:rsidRPr="00FD07E8">
              <w:rPr>
                <w:rFonts w:ascii="Arial" w:eastAsia="Arial" w:hAnsi="Arial" w:cs="Arial"/>
                <w:color w:val="000000"/>
                <w:sz w:val="16"/>
                <w:szCs w:val="16"/>
              </w:rPr>
              <w:t>……………………………………………………………………………………………………………………</w:t>
            </w:r>
          </w:hyperlink>
          <w:r w:rsidR="003F2351">
            <w:rPr>
              <w:rFonts w:ascii="Arial" w:eastAsia="Arial" w:hAnsi="Arial" w:cs="Arial"/>
              <w:color w:val="000000"/>
              <w:sz w:val="16"/>
              <w:szCs w:val="16"/>
            </w:rPr>
            <w:t>..</w:t>
          </w:r>
          <w:r w:rsidR="00FD07E8">
            <w:t>.</w:t>
          </w:r>
          <w:r w:rsidR="003F2351" w:rsidRPr="003F2351">
            <w:rPr>
              <w:rFonts w:ascii="Arial" w:hAnsi="Arial" w:cs="Arial"/>
              <w:sz w:val="16"/>
              <w:szCs w:val="16"/>
            </w:rPr>
            <w:t>8</w:t>
          </w:r>
        </w:p>
        <w:p w14:paraId="6BC5282F" w14:textId="77777777" w:rsidR="00AF4AAD" w:rsidRDefault="003D4366">
          <w:pPr>
            <w:pBdr>
              <w:top w:val="nil"/>
              <w:left w:val="nil"/>
              <w:bottom w:val="nil"/>
              <w:right w:val="nil"/>
              <w:between w:val="nil"/>
            </w:pBdr>
            <w:ind w:left="709"/>
            <w:rPr>
              <w:rFonts w:ascii="Arial" w:eastAsia="Arial" w:hAnsi="Arial" w:cs="Arial"/>
              <w:color w:val="000000"/>
              <w:sz w:val="16"/>
              <w:szCs w:val="16"/>
            </w:rPr>
          </w:pPr>
          <w:r>
            <w:fldChar w:fldCharType="end"/>
          </w:r>
        </w:p>
      </w:sdtContent>
    </w:sdt>
    <w:p w14:paraId="109B8FA1" w14:textId="77777777" w:rsidR="003F2351" w:rsidRDefault="003F2351">
      <w:pPr>
        <w:jc w:val="center"/>
        <w:rPr>
          <w:rFonts w:ascii="Arial" w:eastAsia="Arial" w:hAnsi="Arial" w:cs="Arial"/>
          <w:b/>
          <w:sz w:val="16"/>
          <w:szCs w:val="16"/>
        </w:rPr>
      </w:pPr>
    </w:p>
    <w:p w14:paraId="05A376F5" w14:textId="3E1D99A1" w:rsidR="00AF4AAD" w:rsidRDefault="003D4366">
      <w:pPr>
        <w:jc w:val="center"/>
        <w:rPr>
          <w:rFonts w:ascii="Arial" w:eastAsia="Arial" w:hAnsi="Arial" w:cs="Arial"/>
          <w:b/>
          <w:sz w:val="16"/>
          <w:szCs w:val="16"/>
        </w:rPr>
      </w:pPr>
      <w:r>
        <w:rPr>
          <w:rFonts w:ascii="Arial" w:eastAsia="Arial" w:hAnsi="Arial" w:cs="Arial"/>
          <w:b/>
          <w:sz w:val="16"/>
          <w:szCs w:val="16"/>
        </w:rPr>
        <w:t>Glosario</w:t>
      </w:r>
    </w:p>
    <w:p w14:paraId="6B174D6C" w14:textId="77777777" w:rsidR="00AF4AAD" w:rsidRDefault="00AF4AAD">
      <w:pPr>
        <w:jc w:val="center"/>
        <w:rPr>
          <w:rFonts w:ascii="Arial" w:eastAsia="Arial" w:hAnsi="Arial" w:cs="Arial"/>
          <w:b/>
          <w:sz w:val="8"/>
          <w:szCs w:val="8"/>
        </w:rPr>
      </w:pPr>
    </w:p>
    <w:tbl>
      <w:tblPr>
        <w:tblStyle w:val="a"/>
        <w:tblW w:w="9922"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3402"/>
        <w:gridCol w:w="6520"/>
      </w:tblGrid>
      <w:tr w:rsidR="00AF4AAD" w14:paraId="768FA678" w14:textId="77777777">
        <w:trPr>
          <w:trHeight w:val="247"/>
        </w:trPr>
        <w:tc>
          <w:tcPr>
            <w:tcW w:w="3402" w:type="dxa"/>
          </w:tcPr>
          <w:p w14:paraId="5BA6F491" w14:textId="77777777" w:rsidR="003F2351" w:rsidRDefault="003F2351">
            <w:pPr>
              <w:ind w:left="179"/>
              <w:rPr>
                <w:rFonts w:ascii="Arial" w:eastAsia="Arial" w:hAnsi="Arial" w:cs="Arial"/>
                <w:b/>
                <w:sz w:val="16"/>
                <w:szCs w:val="16"/>
              </w:rPr>
            </w:pPr>
            <w:r>
              <w:rPr>
                <w:rFonts w:ascii="Arial" w:eastAsia="Arial" w:hAnsi="Arial" w:cs="Arial"/>
                <w:b/>
                <w:sz w:val="16"/>
                <w:szCs w:val="16"/>
              </w:rPr>
              <w:t>Coalición “Va Por Aguascalientes”:</w:t>
            </w:r>
          </w:p>
          <w:p w14:paraId="72E2D32D" w14:textId="77777777" w:rsidR="003F2351" w:rsidRDefault="003F2351">
            <w:pPr>
              <w:ind w:left="179"/>
              <w:rPr>
                <w:rFonts w:ascii="Arial" w:eastAsia="Arial" w:hAnsi="Arial" w:cs="Arial"/>
                <w:b/>
                <w:sz w:val="16"/>
                <w:szCs w:val="16"/>
              </w:rPr>
            </w:pPr>
          </w:p>
          <w:p w14:paraId="74CB5647" w14:textId="77777777" w:rsidR="003F2351" w:rsidRDefault="003F2351">
            <w:pPr>
              <w:ind w:left="179"/>
              <w:rPr>
                <w:rFonts w:ascii="Arial" w:eastAsia="Arial" w:hAnsi="Arial" w:cs="Arial"/>
                <w:b/>
                <w:sz w:val="16"/>
                <w:szCs w:val="16"/>
              </w:rPr>
            </w:pPr>
          </w:p>
          <w:p w14:paraId="6E3D1D9F" w14:textId="77777777" w:rsidR="003F2351" w:rsidRDefault="003F2351">
            <w:pPr>
              <w:ind w:left="179"/>
              <w:rPr>
                <w:rFonts w:ascii="Arial" w:eastAsia="Arial" w:hAnsi="Arial" w:cs="Arial"/>
                <w:b/>
                <w:sz w:val="16"/>
                <w:szCs w:val="16"/>
              </w:rPr>
            </w:pPr>
          </w:p>
          <w:p w14:paraId="68D3A7C0" w14:textId="39A64B5B" w:rsidR="003F2351" w:rsidRDefault="003F2351">
            <w:pPr>
              <w:ind w:left="179"/>
              <w:rPr>
                <w:rFonts w:ascii="Arial" w:eastAsia="Arial" w:hAnsi="Arial" w:cs="Arial"/>
                <w:b/>
                <w:sz w:val="16"/>
                <w:szCs w:val="16"/>
              </w:rPr>
            </w:pPr>
            <w:r>
              <w:rPr>
                <w:rFonts w:ascii="Arial" w:eastAsia="Arial" w:hAnsi="Arial" w:cs="Arial"/>
                <w:b/>
                <w:sz w:val="16"/>
                <w:szCs w:val="16"/>
              </w:rPr>
              <w:t xml:space="preserve">Código Electoral: </w:t>
            </w:r>
          </w:p>
          <w:p w14:paraId="75792ACE" w14:textId="77777777" w:rsidR="003F2351" w:rsidRDefault="003F2351" w:rsidP="003F2351">
            <w:pPr>
              <w:ind w:left="179"/>
              <w:rPr>
                <w:rFonts w:ascii="Arial" w:eastAsia="Arial" w:hAnsi="Arial" w:cs="Arial"/>
                <w:b/>
                <w:sz w:val="16"/>
                <w:szCs w:val="16"/>
              </w:rPr>
            </w:pPr>
            <w:r>
              <w:rPr>
                <w:rFonts w:ascii="Arial" w:eastAsia="Arial" w:hAnsi="Arial" w:cs="Arial"/>
                <w:b/>
                <w:sz w:val="16"/>
                <w:szCs w:val="16"/>
              </w:rPr>
              <w:lastRenderedPageBreak/>
              <w:t>Instituto Local:</w:t>
            </w:r>
          </w:p>
          <w:p w14:paraId="29D4BBBC" w14:textId="77777777" w:rsidR="003F2351" w:rsidRDefault="003F2351" w:rsidP="003F2351">
            <w:pPr>
              <w:ind w:left="179"/>
              <w:rPr>
                <w:rFonts w:ascii="Arial" w:eastAsia="Arial" w:hAnsi="Arial" w:cs="Arial"/>
                <w:b/>
                <w:sz w:val="16"/>
                <w:szCs w:val="16"/>
              </w:rPr>
            </w:pPr>
            <w:r>
              <w:rPr>
                <w:rFonts w:ascii="Arial" w:eastAsia="Arial" w:hAnsi="Arial" w:cs="Arial"/>
                <w:b/>
                <w:sz w:val="16"/>
                <w:szCs w:val="16"/>
              </w:rPr>
              <w:t>PAN:</w:t>
            </w:r>
          </w:p>
          <w:p w14:paraId="78021FD1" w14:textId="4CEE30D1" w:rsidR="00AF4AAD" w:rsidRDefault="003D4366">
            <w:pPr>
              <w:ind w:left="179"/>
              <w:rPr>
                <w:rFonts w:ascii="Arial" w:eastAsia="Arial" w:hAnsi="Arial" w:cs="Arial"/>
                <w:b/>
                <w:sz w:val="16"/>
                <w:szCs w:val="16"/>
              </w:rPr>
            </w:pPr>
            <w:r>
              <w:rPr>
                <w:rFonts w:ascii="Arial" w:eastAsia="Arial" w:hAnsi="Arial" w:cs="Arial"/>
                <w:b/>
                <w:sz w:val="16"/>
                <w:szCs w:val="16"/>
              </w:rPr>
              <w:t>Promovente:</w:t>
            </w:r>
          </w:p>
          <w:p w14:paraId="048B913C" w14:textId="77777777" w:rsidR="00AF4AAD" w:rsidRDefault="00AF4AAD">
            <w:pPr>
              <w:ind w:left="179"/>
              <w:rPr>
                <w:rFonts w:ascii="Arial" w:eastAsia="Arial" w:hAnsi="Arial" w:cs="Arial"/>
                <w:b/>
                <w:sz w:val="16"/>
                <w:szCs w:val="16"/>
              </w:rPr>
            </w:pPr>
          </w:p>
          <w:p w14:paraId="4ED65695" w14:textId="77777777" w:rsidR="00FD07E8" w:rsidRDefault="00FD07E8">
            <w:pPr>
              <w:ind w:left="179"/>
              <w:rPr>
                <w:rFonts w:ascii="Arial" w:eastAsia="Arial" w:hAnsi="Arial" w:cs="Arial"/>
                <w:b/>
                <w:sz w:val="16"/>
                <w:szCs w:val="16"/>
              </w:rPr>
            </w:pPr>
          </w:p>
          <w:p w14:paraId="794F6B75" w14:textId="3367A22C" w:rsidR="00AF4AAD" w:rsidRDefault="003D4366">
            <w:pPr>
              <w:ind w:left="179"/>
              <w:rPr>
                <w:rFonts w:ascii="Arial" w:eastAsia="Arial" w:hAnsi="Arial" w:cs="Arial"/>
                <w:b/>
                <w:sz w:val="16"/>
                <w:szCs w:val="16"/>
              </w:rPr>
            </w:pPr>
            <w:r>
              <w:rPr>
                <w:rFonts w:ascii="Arial" w:eastAsia="Arial" w:hAnsi="Arial" w:cs="Arial"/>
                <w:b/>
                <w:sz w:val="16"/>
                <w:szCs w:val="16"/>
              </w:rPr>
              <w:t>Responsable/</w:t>
            </w:r>
            <w:proofErr w:type="gramStart"/>
            <w:r w:rsidR="003F2351">
              <w:rPr>
                <w:rFonts w:ascii="Arial" w:eastAsia="Arial" w:hAnsi="Arial" w:cs="Arial"/>
                <w:b/>
                <w:sz w:val="16"/>
                <w:szCs w:val="16"/>
              </w:rPr>
              <w:t>Secretario Ejecutivo</w:t>
            </w:r>
            <w:proofErr w:type="gramEnd"/>
            <w:r>
              <w:rPr>
                <w:rFonts w:ascii="Arial" w:eastAsia="Arial" w:hAnsi="Arial" w:cs="Arial"/>
                <w:b/>
                <w:sz w:val="16"/>
                <w:szCs w:val="16"/>
              </w:rPr>
              <w:t>:</w:t>
            </w:r>
          </w:p>
        </w:tc>
        <w:tc>
          <w:tcPr>
            <w:tcW w:w="6520" w:type="dxa"/>
          </w:tcPr>
          <w:p w14:paraId="399A37DC" w14:textId="77777777" w:rsidR="003F2351" w:rsidRDefault="003F2351" w:rsidP="003F2351">
            <w:pPr>
              <w:ind w:right="1442"/>
              <w:jc w:val="both"/>
              <w:rPr>
                <w:rFonts w:ascii="Arial" w:eastAsia="Arial" w:hAnsi="Arial" w:cs="Arial"/>
                <w:sz w:val="16"/>
                <w:szCs w:val="16"/>
              </w:rPr>
            </w:pPr>
            <w:r>
              <w:rPr>
                <w:rFonts w:ascii="Arial" w:eastAsia="Arial" w:hAnsi="Arial" w:cs="Arial"/>
                <w:sz w:val="16"/>
                <w:szCs w:val="16"/>
              </w:rPr>
              <w:lastRenderedPageBreak/>
              <w:t xml:space="preserve">Coalición conformada para el proceso electoral 2021-2022 del estado de Aguascalientes, por los partidos políticos: Partido Acción Nacional, Partido de la Revolución Democrática y Partido Revolucionario Institucional. </w:t>
            </w:r>
          </w:p>
          <w:p w14:paraId="7FECDF54" w14:textId="77777777" w:rsidR="003F2351" w:rsidRDefault="003F2351" w:rsidP="003F2351">
            <w:pPr>
              <w:ind w:right="1442"/>
              <w:jc w:val="both"/>
              <w:rPr>
                <w:rFonts w:ascii="Arial" w:eastAsia="Arial" w:hAnsi="Arial" w:cs="Arial"/>
                <w:sz w:val="16"/>
                <w:szCs w:val="16"/>
              </w:rPr>
            </w:pPr>
            <w:r>
              <w:rPr>
                <w:rFonts w:ascii="Arial" w:eastAsia="Arial" w:hAnsi="Arial" w:cs="Arial"/>
                <w:sz w:val="16"/>
                <w:szCs w:val="16"/>
              </w:rPr>
              <w:t>Código Electoral del Estado de Aguascalientes.</w:t>
            </w:r>
          </w:p>
          <w:p w14:paraId="45B734E2" w14:textId="77777777" w:rsidR="003F2351" w:rsidRDefault="003F2351" w:rsidP="003F2351">
            <w:pPr>
              <w:ind w:right="1442"/>
              <w:jc w:val="both"/>
              <w:rPr>
                <w:rFonts w:ascii="Arial" w:eastAsia="Arial" w:hAnsi="Arial" w:cs="Arial"/>
                <w:sz w:val="16"/>
                <w:szCs w:val="16"/>
              </w:rPr>
            </w:pPr>
            <w:r>
              <w:rPr>
                <w:rFonts w:ascii="Arial" w:eastAsia="Arial" w:hAnsi="Arial" w:cs="Arial"/>
                <w:sz w:val="16"/>
                <w:szCs w:val="16"/>
              </w:rPr>
              <w:lastRenderedPageBreak/>
              <w:t>Instituto Estatal Electoral de Aguascalientes.</w:t>
            </w:r>
          </w:p>
          <w:p w14:paraId="59EFFF4F" w14:textId="77777777" w:rsidR="003F2351" w:rsidRDefault="003F2351" w:rsidP="003F2351">
            <w:pPr>
              <w:ind w:right="1442"/>
              <w:jc w:val="both"/>
              <w:rPr>
                <w:rFonts w:ascii="Arial" w:eastAsia="Arial" w:hAnsi="Arial" w:cs="Arial"/>
                <w:sz w:val="16"/>
                <w:szCs w:val="16"/>
              </w:rPr>
            </w:pPr>
            <w:r>
              <w:rPr>
                <w:rFonts w:ascii="Arial" w:eastAsia="Arial" w:hAnsi="Arial" w:cs="Arial"/>
                <w:sz w:val="16"/>
                <w:szCs w:val="16"/>
              </w:rPr>
              <w:t xml:space="preserve">Partido Acción Nacional. </w:t>
            </w:r>
          </w:p>
          <w:p w14:paraId="76DA5E56" w14:textId="77777777" w:rsidR="00AF4AAD" w:rsidRDefault="003D4366" w:rsidP="00FD07E8">
            <w:pPr>
              <w:ind w:right="1442"/>
              <w:jc w:val="both"/>
              <w:rPr>
                <w:rFonts w:ascii="Arial" w:eastAsia="Arial" w:hAnsi="Arial" w:cs="Arial"/>
                <w:sz w:val="16"/>
                <w:szCs w:val="16"/>
              </w:rPr>
            </w:pPr>
            <w:r>
              <w:rPr>
                <w:rFonts w:ascii="Arial" w:eastAsia="Arial" w:hAnsi="Arial" w:cs="Arial"/>
                <w:sz w:val="16"/>
                <w:szCs w:val="16"/>
              </w:rPr>
              <w:t xml:space="preserve">Israel Ángel Ramírez, representante del Partido Acción Nacional y de la coalición “Va Por Aguascalientes” ante el Instituto Estatal Electoral del Estado de Aguascalientes. </w:t>
            </w:r>
          </w:p>
          <w:p w14:paraId="32620CBE" w14:textId="77777777" w:rsidR="00AF4AAD" w:rsidRDefault="003D4366" w:rsidP="00FD07E8">
            <w:pPr>
              <w:ind w:right="1442"/>
              <w:jc w:val="both"/>
              <w:rPr>
                <w:rFonts w:ascii="Arial" w:eastAsia="Arial" w:hAnsi="Arial" w:cs="Arial"/>
                <w:sz w:val="16"/>
                <w:szCs w:val="16"/>
              </w:rPr>
            </w:pPr>
            <w:r>
              <w:rPr>
                <w:rFonts w:ascii="Arial" w:eastAsia="Arial" w:hAnsi="Arial" w:cs="Arial"/>
                <w:sz w:val="16"/>
                <w:szCs w:val="16"/>
              </w:rPr>
              <w:t>Secretario Ejecutivo del Consejo General del Instituto Estatal Electoral de Aguascalientes.</w:t>
            </w:r>
          </w:p>
        </w:tc>
      </w:tr>
      <w:tr w:rsidR="00AF4AAD" w14:paraId="7261F705" w14:textId="77777777">
        <w:trPr>
          <w:trHeight w:val="150"/>
        </w:trPr>
        <w:tc>
          <w:tcPr>
            <w:tcW w:w="3402" w:type="dxa"/>
          </w:tcPr>
          <w:p w14:paraId="7FF23470" w14:textId="502383CD" w:rsidR="00AF4AAD" w:rsidRDefault="003F2351">
            <w:pPr>
              <w:ind w:left="179"/>
              <w:rPr>
                <w:rFonts w:ascii="Arial" w:eastAsia="Arial" w:hAnsi="Arial" w:cs="Arial"/>
                <w:b/>
                <w:sz w:val="16"/>
                <w:szCs w:val="16"/>
              </w:rPr>
            </w:pPr>
            <w:r>
              <w:rPr>
                <w:rFonts w:ascii="Arial" w:eastAsia="Arial" w:hAnsi="Arial" w:cs="Arial"/>
                <w:b/>
                <w:sz w:val="16"/>
                <w:szCs w:val="16"/>
              </w:rPr>
              <w:lastRenderedPageBreak/>
              <w:t>Reglamento Interior:</w:t>
            </w:r>
          </w:p>
        </w:tc>
        <w:tc>
          <w:tcPr>
            <w:tcW w:w="6520" w:type="dxa"/>
          </w:tcPr>
          <w:p w14:paraId="09D2ADCB" w14:textId="6722709C" w:rsidR="00AF4AAD" w:rsidRDefault="003F2351" w:rsidP="00FD07E8">
            <w:pPr>
              <w:ind w:right="1442"/>
              <w:jc w:val="both"/>
              <w:rPr>
                <w:rFonts w:ascii="Arial" w:eastAsia="Arial" w:hAnsi="Arial" w:cs="Arial"/>
                <w:sz w:val="16"/>
                <w:szCs w:val="16"/>
              </w:rPr>
            </w:pPr>
            <w:r>
              <w:rPr>
                <w:rFonts w:ascii="Arial" w:eastAsia="Arial" w:hAnsi="Arial" w:cs="Arial"/>
                <w:sz w:val="16"/>
                <w:szCs w:val="16"/>
              </w:rPr>
              <w:t>Reglamento Interior del Tribunal Electoral del Estado de Aguascalientes.</w:t>
            </w:r>
          </w:p>
        </w:tc>
      </w:tr>
      <w:tr w:rsidR="00AF4AAD" w14:paraId="1C0BDEC1" w14:textId="77777777">
        <w:trPr>
          <w:trHeight w:val="150"/>
        </w:trPr>
        <w:tc>
          <w:tcPr>
            <w:tcW w:w="3402" w:type="dxa"/>
          </w:tcPr>
          <w:p w14:paraId="644B0FAD" w14:textId="2F46F4A1" w:rsidR="00AF4AAD" w:rsidRPr="003F2351" w:rsidRDefault="00AF4AAD">
            <w:pPr>
              <w:ind w:left="179"/>
              <w:rPr>
                <w:rFonts w:ascii="Arial" w:eastAsia="Arial" w:hAnsi="Arial" w:cs="Arial"/>
                <w:b/>
                <w:sz w:val="2"/>
                <w:szCs w:val="2"/>
              </w:rPr>
            </w:pPr>
          </w:p>
          <w:p w14:paraId="1423FEF5" w14:textId="77777777" w:rsidR="00AF4AAD" w:rsidRDefault="003F2351">
            <w:pPr>
              <w:ind w:left="179"/>
              <w:rPr>
                <w:rFonts w:ascii="Arial" w:eastAsia="Arial" w:hAnsi="Arial" w:cs="Arial"/>
                <w:b/>
                <w:sz w:val="16"/>
                <w:szCs w:val="16"/>
              </w:rPr>
            </w:pPr>
            <w:r>
              <w:rPr>
                <w:rFonts w:ascii="Arial" w:eastAsia="Arial" w:hAnsi="Arial" w:cs="Arial"/>
                <w:b/>
                <w:sz w:val="16"/>
                <w:szCs w:val="16"/>
              </w:rPr>
              <w:t>Tribunal Electoral:</w:t>
            </w:r>
          </w:p>
          <w:p w14:paraId="14E4D821" w14:textId="3C43E7E5" w:rsidR="003F2351" w:rsidRDefault="003F2351">
            <w:pPr>
              <w:ind w:left="179"/>
              <w:rPr>
                <w:rFonts w:ascii="Arial" w:eastAsia="Arial" w:hAnsi="Arial" w:cs="Arial"/>
                <w:b/>
                <w:sz w:val="16"/>
                <w:szCs w:val="16"/>
              </w:rPr>
            </w:pPr>
          </w:p>
        </w:tc>
        <w:tc>
          <w:tcPr>
            <w:tcW w:w="6520" w:type="dxa"/>
          </w:tcPr>
          <w:p w14:paraId="54FD7388" w14:textId="77777777" w:rsidR="00AF4AAD" w:rsidRDefault="003F2351" w:rsidP="003F2351">
            <w:pPr>
              <w:ind w:right="1442"/>
              <w:jc w:val="both"/>
              <w:rPr>
                <w:rFonts w:ascii="Arial" w:eastAsia="Arial" w:hAnsi="Arial" w:cs="Arial"/>
                <w:sz w:val="16"/>
                <w:szCs w:val="16"/>
              </w:rPr>
            </w:pPr>
            <w:r>
              <w:rPr>
                <w:rFonts w:ascii="Arial" w:eastAsia="Arial" w:hAnsi="Arial" w:cs="Arial"/>
                <w:sz w:val="16"/>
                <w:szCs w:val="16"/>
              </w:rPr>
              <w:t>Tribunal Electoral del Estado de Aguascalientes.</w:t>
            </w:r>
          </w:p>
          <w:p w14:paraId="0C356C87" w14:textId="77777777" w:rsidR="003F2351" w:rsidRDefault="003F2351" w:rsidP="003F2351">
            <w:pPr>
              <w:ind w:right="1442"/>
              <w:jc w:val="both"/>
              <w:rPr>
                <w:rFonts w:ascii="Arial" w:eastAsia="Arial" w:hAnsi="Arial" w:cs="Arial"/>
                <w:sz w:val="16"/>
                <w:szCs w:val="16"/>
              </w:rPr>
            </w:pPr>
          </w:p>
          <w:p w14:paraId="723057F9" w14:textId="77777777" w:rsidR="003F2351" w:rsidRDefault="003F2351" w:rsidP="003F2351">
            <w:pPr>
              <w:ind w:right="1442"/>
              <w:jc w:val="both"/>
              <w:rPr>
                <w:rFonts w:ascii="Arial" w:eastAsia="Arial" w:hAnsi="Arial" w:cs="Arial"/>
                <w:sz w:val="16"/>
                <w:szCs w:val="16"/>
              </w:rPr>
            </w:pPr>
          </w:p>
          <w:p w14:paraId="3377F557" w14:textId="78911DC7" w:rsidR="003F2351" w:rsidRDefault="003F2351" w:rsidP="003F2351">
            <w:pPr>
              <w:ind w:right="1442"/>
              <w:jc w:val="both"/>
              <w:rPr>
                <w:rFonts w:ascii="Arial" w:eastAsia="Arial" w:hAnsi="Arial" w:cs="Arial"/>
                <w:sz w:val="16"/>
                <w:szCs w:val="16"/>
              </w:rPr>
            </w:pPr>
          </w:p>
        </w:tc>
      </w:tr>
    </w:tbl>
    <w:p w14:paraId="0E6D44EB" w14:textId="77777777" w:rsidR="00AF4AAD" w:rsidRDefault="003D4366">
      <w:pPr>
        <w:numPr>
          <w:ilvl w:val="0"/>
          <w:numId w:val="2"/>
        </w:numPr>
        <w:pBdr>
          <w:top w:val="nil"/>
          <w:left w:val="nil"/>
          <w:bottom w:val="nil"/>
          <w:right w:val="nil"/>
          <w:between w:val="nil"/>
        </w:pBdr>
        <w:ind w:left="284" w:hanging="295"/>
        <w:rPr>
          <w:rFonts w:ascii="Arial" w:eastAsia="Arial" w:hAnsi="Arial" w:cs="Arial"/>
          <w:b/>
          <w:color w:val="000000"/>
          <w:sz w:val="24"/>
          <w:szCs w:val="24"/>
        </w:rPr>
      </w:pPr>
      <w:r>
        <w:rPr>
          <w:rFonts w:ascii="Arial" w:eastAsia="Arial" w:hAnsi="Arial" w:cs="Arial"/>
          <w:b/>
          <w:color w:val="000000"/>
          <w:sz w:val="24"/>
          <w:szCs w:val="24"/>
        </w:rPr>
        <w:t>Contexto de la controversia</w:t>
      </w:r>
      <w:r>
        <w:rPr>
          <w:rFonts w:ascii="Arial" w:eastAsia="Arial" w:hAnsi="Arial" w:cs="Arial"/>
          <w:b/>
          <w:color w:val="000000"/>
          <w:sz w:val="22"/>
          <w:szCs w:val="22"/>
          <w:vertAlign w:val="superscript"/>
        </w:rPr>
        <w:footnoteReference w:id="2"/>
      </w:r>
    </w:p>
    <w:p w14:paraId="10F9A4B2" w14:textId="77777777" w:rsidR="00AF4AAD" w:rsidRDefault="00AF4AAD">
      <w:pPr>
        <w:pBdr>
          <w:top w:val="nil"/>
          <w:left w:val="nil"/>
          <w:bottom w:val="nil"/>
          <w:right w:val="nil"/>
          <w:between w:val="nil"/>
        </w:pBdr>
        <w:rPr>
          <w:color w:val="000000"/>
        </w:rPr>
      </w:pPr>
    </w:p>
    <w:p w14:paraId="542FF26A" w14:textId="77777777" w:rsidR="00AF4AAD" w:rsidRDefault="003D4366">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1. PEL 2021-2022. </w:t>
      </w:r>
      <w:r>
        <w:rPr>
          <w:rFonts w:ascii="Arial" w:eastAsia="Arial" w:hAnsi="Arial" w:cs="Arial"/>
          <w:color w:val="000000"/>
          <w:sz w:val="24"/>
          <w:szCs w:val="24"/>
        </w:rPr>
        <w:t xml:space="preserve">El 7 de octubre de 2021, inició el proceso electoral local para renovar la </w:t>
      </w:r>
      <w:r>
        <w:rPr>
          <w:rFonts w:ascii="Arial" w:eastAsia="Arial" w:hAnsi="Arial" w:cs="Arial"/>
          <w:sz w:val="24"/>
          <w:szCs w:val="24"/>
        </w:rPr>
        <w:t>gubernatura</w:t>
      </w:r>
      <w:r>
        <w:rPr>
          <w:rFonts w:ascii="Arial" w:eastAsia="Arial" w:hAnsi="Arial" w:cs="Arial"/>
          <w:color w:val="000000"/>
          <w:sz w:val="24"/>
          <w:szCs w:val="24"/>
        </w:rPr>
        <w:t xml:space="preserve"> del Estado de Aguascalientes.</w:t>
      </w:r>
      <w:r>
        <w:rPr>
          <w:rFonts w:ascii="Arial" w:eastAsia="Arial" w:hAnsi="Arial" w:cs="Arial"/>
          <w:color w:val="000000"/>
          <w:sz w:val="24"/>
          <w:szCs w:val="24"/>
          <w:vertAlign w:val="superscript"/>
        </w:rPr>
        <w:footnoteReference w:id="3"/>
      </w:r>
    </w:p>
    <w:p w14:paraId="4E73BDB9" w14:textId="77777777" w:rsidR="00AF4AAD" w:rsidRDefault="00AF4AAD">
      <w:pPr>
        <w:pBdr>
          <w:top w:val="nil"/>
          <w:left w:val="nil"/>
          <w:bottom w:val="nil"/>
          <w:right w:val="nil"/>
          <w:between w:val="nil"/>
        </w:pBdr>
        <w:rPr>
          <w:color w:val="000000"/>
          <w:vertAlign w:val="superscript"/>
        </w:rPr>
      </w:pPr>
    </w:p>
    <w:p w14:paraId="49424DA7" w14:textId="77777777" w:rsidR="00AF4AAD" w:rsidRDefault="003D4366">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b/>
          <w:sz w:val="24"/>
          <w:szCs w:val="24"/>
        </w:rPr>
        <w:t>2</w:t>
      </w:r>
      <w:r>
        <w:rPr>
          <w:rFonts w:ascii="Arial" w:eastAsia="Arial" w:hAnsi="Arial" w:cs="Arial"/>
          <w:b/>
          <w:color w:val="000000"/>
          <w:sz w:val="24"/>
          <w:szCs w:val="24"/>
        </w:rPr>
        <w:t xml:space="preserve">. Presentación de denuncia. </w:t>
      </w:r>
      <w:r>
        <w:rPr>
          <w:rFonts w:ascii="Arial" w:eastAsia="Arial" w:hAnsi="Arial" w:cs="Arial"/>
          <w:color w:val="000000"/>
          <w:sz w:val="24"/>
          <w:szCs w:val="24"/>
        </w:rPr>
        <w:t xml:space="preserve">El 11 de abril, el ciudadano Israel Ángel Ramírez, representante del PAN y de la coalición “Va Por Aguascalientes” ante el Instituto Local, presentó una denuncia en contra de Nora Ruvalcaba Gámez, en su calidad de candidata de MORENA a la gubernatura del estado, y del referido instituto político, por la presunta difusión de propaganda calumniosa en perjuicio de sus representados y </w:t>
      </w:r>
      <w:r>
        <w:rPr>
          <w:rFonts w:ascii="Arial" w:eastAsia="Arial" w:hAnsi="Arial" w:cs="Arial"/>
          <w:sz w:val="24"/>
          <w:szCs w:val="24"/>
        </w:rPr>
        <w:t>de</w:t>
      </w:r>
      <w:r>
        <w:rPr>
          <w:rFonts w:ascii="Arial" w:eastAsia="Arial" w:hAnsi="Arial" w:cs="Arial"/>
          <w:color w:val="000000"/>
          <w:sz w:val="24"/>
          <w:szCs w:val="24"/>
        </w:rPr>
        <w:t xml:space="preserve"> </w:t>
      </w:r>
      <w:r>
        <w:rPr>
          <w:rFonts w:ascii="Arial" w:eastAsia="Arial" w:hAnsi="Arial" w:cs="Arial"/>
          <w:sz w:val="24"/>
          <w:szCs w:val="24"/>
        </w:rPr>
        <w:t>María Teresa Jiménez Esquivel,</w:t>
      </w:r>
      <w:r>
        <w:rPr>
          <w:rFonts w:ascii="Arial" w:eastAsia="Arial" w:hAnsi="Arial" w:cs="Arial"/>
          <w:color w:val="000000"/>
          <w:sz w:val="24"/>
          <w:szCs w:val="24"/>
        </w:rPr>
        <w:t xml:space="preserve"> candidata de la coalición a la gubernatura. </w:t>
      </w:r>
    </w:p>
    <w:p w14:paraId="0FA9EBA5" w14:textId="77777777" w:rsidR="00AF4AAD" w:rsidRDefault="00AF4AAD">
      <w:pPr>
        <w:pBdr>
          <w:top w:val="nil"/>
          <w:left w:val="nil"/>
          <w:bottom w:val="nil"/>
          <w:right w:val="nil"/>
          <w:between w:val="nil"/>
        </w:pBdr>
        <w:rPr>
          <w:color w:val="000000"/>
        </w:rPr>
      </w:pPr>
    </w:p>
    <w:p w14:paraId="04C1C29B" w14:textId="77777777" w:rsidR="00AF4AAD" w:rsidRDefault="003D4366">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b/>
          <w:sz w:val="24"/>
          <w:szCs w:val="24"/>
        </w:rPr>
        <w:t>3</w:t>
      </w:r>
      <w:r>
        <w:rPr>
          <w:rFonts w:ascii="Arial" w:eastAsia="Arial" w:hAnsi="Arial" w:cs="Arial"/>
          <w:b/>
          <w:color w:val="000000"/>
          <w:sz w:val="24"/>
          <w:szCs w:val="24"/>
        </w:rPr>
        <w:t xml:space="preserve">. </w:t>
      </w:r>
      <w:r>
        <w:rPr>
          <w:rFonts w:ascii="Arial" w:eastAsia="Arial" w:hAnsi="Arial" w:cs="Arial"/>
          <w:b/>
          <w:sz w:val="24"/>
          <w:szCs w:val="24"/>
        </w:rPr>
        <w:t>Radicación y requerimiento (IEE/PES/025/2022)</w:t>
      </w:r>
      <w:r>
        <w:rPr>
          <w:rFonts w:ascii="Arial" w:eastAsia="Arial" w:hAnsi="Arial" w:cs="Arial"/>
          <w:b/>
          <w:color w:val="000000"/>
          <w:sz w:val="24"/>
          <w:szCs w:val="24"/>
        </w:rPr>
        <w:t xml:space="preserve">. </w:t>
      </w:r>
      <w:r>
        <w:rPr>
          <w:rFonts w:ascii="Arial" w:eastAsia="Arial" w:hAnsi="Arial" w:cs="Arial"/>
          <w:color w:val="000000"/>
          <w:sz w:val="24"/>
          <w:szCs w:val="24"/>
        </w:rPr>
        <w:t xml:space="preserve">El 12 siguiente, </w:t>
      </w:r>
      <w:r>
        <w:rPr>
          <w:rFonts w:ascii="Arial" w:eastAsia="Arial" w:hAnsi="Arial" w:cs="Arial"/>
          <w:sz w:val="24"/>
          <w:szCs w:val="24"/>
        </w:rPr>
        <w:t xml:space="preserve">el </w:t>
      </w:r>
      <w:proofErr w:type="gramStart"/>
      <w:r>
        <w:rPr>
          <w:rFonts w:ascii="Arial" w:eastAsia="Arial" w:hAnsi="Arial" w:cs="Arial"/>
          <w:sz w:val="24"/>
          <w:szCs w:val="24"/>
        </w:rPr>
        <w:t>Secretario Ejecutivo</w:t>
      </w:r>
      <w:proofErr w:type="gramEnd"/>
      <w:r>
        <w:rPr>
          <w:rFonts w:ascii="Arial" w:eastAsia="Arial" w:hAnsi="Arial" w:cs="Arial"/>
          <w:sz w:val="24"/>
          <w:szCs w:val="24"/>
        </w:rPr>
        <w:t xml:space="preserve"> radicó la queja, asignándole el número de expediente IEE/PES/025/2022. Asimismo, requirió a la candidata de la coalición, para que ratificara el escrito de denuncia, así como al promovente respecto de precisiones probatorias. El 14 siguiente, se dio por desahogada la prevención sólo en lo que consistió la segunda de las peticiones. </w:t>
      </w:r>
    </w:p>
    <w:p w14:paraId="1853677D" w14:textId="77777777" w:rsidR="00AF4AAD" w:rsidRDefault="00AF4AAD">
      <w:pPr>
        <w:pBdr>
          <w:top w:val="nil"/>
          <w:left w:val="nil"/>
          <w:bottom w:val="nil"/>
          <w:right w:val="nil"/>
          <w:between w:val="nil"/>
        </w:pBdr>
        <w:rPr>
          <w:color w:val="000000"/>
        </w:rPr>
      </w:pPr>
    </w:p>
    <w:p w14:paraId="52B5DC35" w14:textId="77777777" w:rsidR="00AF4AAD" w:rsidRDefault="003D4366">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b/>
          <w:sz w:val="24"/>
          <w:szCs w:val="24"/>
        </w:rPr>
        <w:t>4. Desechamiento de la denuncia.</w:t>
      </w:r>
      <w:r>
        <w:rPr>
          <w:rFonts w:ascii="Arial" w:eastAsia="Arial" w:hAnsi="Arial" w:cs="Arial"/>
          <w:sz w:val="24"/>
          <w:szCs w:val="24"/>
        </w:rPr>
        <w:t xml:space="preserve"> El 15 del mismo mes, el </w:t>
      </w:r>
      <w:proofErr w:type="gramStart"/>
      <w:r>
        <w:rPr>
          <w:rFonts w:ascii="Arial" w:eastAsia="Arial" w:hAnsi="Arial" w:cs="Arial"/>
          <w:sz w:val="24"/>
          <w:szCs w:val="24"/>
        </w:rPr>
        <w:t>Secretario Ejecutivo</w:t>
      </w:r>
      <w:proofErr w:type="gramEnd"/>
      <w:r>
        <w:rPr>
          <w:rFonts w:ascii="Arial" w:eastAsia="Arial" w:hAnsi="Arial" w:cs="Arial"/>
          <w:sz w:val="24"/>
          <w:szCs w:val="24"/>
        </w:rPr>
        <w:t xml:space="preserve">, emitió un acuerdo mediante el cual desechó la queja en comento, por considerar que el quejoso no cuenta con legitimación </w:t>
      </w:r>
      <w:r>
        <w:rPr>
          <w:rFonts w:ascii="Arial" w:eastAsia="Arial" w:hAnsi="Arial" w:cs="Arial"/>
          <w:i/>
          <w:sz w:val="24"/>
          <w:szCs w:val="24"/>
        </w:rPr>
        <w:t xml:space="preserve">ad </w:t>
      </w:r>
      <w:proofErr w:type="spellStart"/>
      <w:r>
        <w:rPr>
          <w:rFonts w:ascii="Arial" w:eastAsia="Arial" w:hAnsi="Arial" w:cs="Arial"/>
          <w:i/>
          <w:sz w:val="24"/>
          <w:szCs w:val="24"/>
        </w:rPr>
        <w:t>procesum</w:t>
      </w:r>
      <w:proofErr w:type="spellEnd"/>
      <w:r>
        <w:rPr>
          <w:rFonts w:ascii="Arial" w:eastAsia="Arial" w:hAnsi="Arial" w:cs="Arial"/>
          <w:sz w:val="24"/>
          <w:szCs w:val="24"/>
        </w:rPr>
        <w:t xml:space="preserve">, es decir, con la personería legal para presentar y promover denuncia sobre la infracción de calumnia, a nombre de la candidata María Teresa Jiménez Esquivel. </w:t>
      </w:r>
    </w:p>
    <w:p w14:paraId="25CDC721" w14:textId="77777777" w:rsidR="00AF4AAD" w:rsidRDefault="003D4366">
      <w:pPr>
        <w:tabs>
          <w:tab w:val="left" w:pos="284"/>
        </w:tabs>
        <w:spacing w:before="240" w:after="240" w:line="360" w:lineRule="auto"/>
        <w:ind w:right="40"/>
        <w:jc w:val="both"/>
        <w:rPr>
          <w:rFonts w:ascii="Arial" w:eastAsia="Arial" w:hAnsi="Arial" w:cs="Arial"/>
          <w:sz w:val="24"/>
          <w:szCs w:val="24"/>
        </w:rPr>
      </w:pPr>
      <w:r>
        <w:rPr>
          <w:rFonts w:ascii="Arial" w:eastAsia="Arial" w:hAnsi="Arial" w:cs="Arial"/>
          <w:b/>
          <w:sz w:val="24"/>
          <w:szCs w:val="24"/>
        </w:rPr>
        <w:t>5. Recurso de revisión.</w:t>
      </w:r>
      <w:r>
        <w:rPr>
          <w:rFonts w:ascii="Arial" w:eastAsia="Arial" w:hAnsi="Arial" w:cs="Arial"/>
          <w:sz w:val="24"/>
          <w:szCs w:val="24"/>
        </w:rPr>
        <w:t xml:space="preserve"> Inconforme con tal determinación, el 16 de abril, el accionante promovió el presente recurso de revisión del procedimiento especial sancionador, al estimar que la representación del PAN y de la coalición, sí cuentan con legitimación activa para interponer la queja a nombre de su candidata. </w:t>
      </w:r>
    </w:p>
    <w:p w14:paraId="625D09B7" w14:textId="77777777" w:rsidR="00AF4AAD" w:rsidRDefault="003D4366">
      <w:pPr>
        <w:tabs>
          <w:tab w:val="left" w:pos="284"/>
        </w:tabs>
        <w:spacing w:before="240" w:after="240" w:line="360" w:lineRule="auto"/>
        <w:ind w:right="40"/>
        <w:jc w:val="both"/>
        <w:rPr>
          <w:rFonts w:ascii="Arial" w:eastAsia="Arial" w:hAnsi="Arial" w:cs="Arial"/>
          <w:sz w:val="24"/>
          <w:szCs w:val="24"/>
        </w:rPr>
      </w:pPr>
      <w:r>
        <w:rPr>
          <w:rFonts w:ascii="Arial" w:eastAsia="Arial" w:hAnsi="Arial" w:cs="Arial"/>
          <w:b/>
          <w:sz w:val="24"/>
          <w:szCs w:val="24"/>
        </w:rPr>
        <w:t>6. Admisión y remisión del expediente.</w:t>
      </w:r>
      <w:r>
        <w:rPr>
          <w:rFonts w:ascii="Arial" w:eastAsia="Arial" w:hAnsi="Arial" w:cs="Arial"/>
          <w:sz w:val="24"/>
          <w:szCs w:val="24"/>
        </w:rPr>
        <w:t xml:space="preserve"> El 17 siguiente, el </w:t>
      </w:r>
      <w:proofErr w:type="gramStart"/>
      <w:r>
        <w:rPr>
          <w:rFonts w:ascii="Arial" w:eastAsia="Arial" w:hAnsi="Arial" w:cs="Arial"/>
          <w:sz w:val="24"/>
          <w:szCs w:val="24"/>
        </w:rPr>
        <w:t>Secretario Ejecutivo</w:t>
      </w:r>
      <w:proofErr w:type="gramEnd"/>
      <w:r>
        <w:rPr>
          <w:rFonts w:ascii="Arial" w:eastAsia="Arial" w:hAnsi="Arial" w:cs="Arial"/>
          <w:sz w:val="24"/>
          <w:szCs w:val="24"/>
        </w:rPr>
        <w:t xml:space="preserve"> admitió a trámite la demanda y le asignó el número de expediente IEE/RPES/001/2022. El 21 de abril, el </w:t>
      </w:r>
      <w:proofErr w:type="gramStart"/>
      <w:r>
        <w:rPr>
          <w:rFonts w:ascii="Arial" w:eastAsia="Arial" w:hAnsi="Arial" w:cs="Arial"/>
          <w:sz w:val="24"/>
          <w:szCs w:val="24"/>
        </w:rPr>
        <w:t>Secretario Ejecutivo</w:t>
      </w:r>
      <w:proofErr w:type="gramEnd"/>
      <w:r>
        <w:rPr>
          <w:rFonts w:ascii="Arial" w:eastAsia="Arial" w:hAnsi="Arial" w:cs="Arial"/>
          <w:sz w:val="24"/>
          <w:szCs w:val="24"/>
        </w:rPr>
        <w:t xml:space="preserve"> rindió el informe circunstanciado y remitió el expediente a este Tribunal. </w:t>
      </w:r>
    </w:p>
    <w:p w14:paraId="264A8B52" w14:textId="77777777" w:rsidR="00AF4AAD" w:rsidRDefault="003D4366">
      <w:pPr>
        <w:tabs>
          <w:tab w:val="left" w:pos="284"/>
        </w:tabs>
        <w:spacing w:before="240" w:after="240" w:line="360" w:lineRule="auto"/>
        <w:ind w:right="40"/>
        <w:jc w:val="both"/>
        <w:rPr>
          <w:rFonts w:ascii="Arial" w:eastAsia="Arial" w:hAnsi="Arial" w:cs="Arial"/>
          <w:sz w:val="24"/>
          <w:szCs w:val="24"/>
        </w:rPr>
      </w:pPr>
      <w:bookmarkStart w:id="2" w:name="_heading=h.30j0zll" w:colFirst="0" w:colLast="0"/>
      <w:bookmarkEnd w:id="2"/>
      <w:r>
        <w:rPr>
          <w:rFonts w:ascii="Arial" w:eastAsia="Arial" w:hAnsi="Arial" w:cs="Arial"/>
          <w:b/>
          <w:sz w:val="24"/>
          <w:szCs w:val="24"/>
        </w:rPr>
        <w:lastRenderedPageBreak/>
        <w:t xml:space="preserve">7. Turno, radicación y formulación del proyecto de resolución TEEA-REP-001/2022. </w:t>
      </w:r>
      <w:r>
        <w:rPr>
          <w:rFonts w:ascii="Arial" w:eastAsia="Arial" w:hAnsi="Arial" w:cs="Arial"/>
          <w:sz w:val="24"/>
          <w:szCs w:val="24"/>
        </w:rPr>
        <w:t xml:space="preserve">El mismo día, se recibió en este Tribunal el referido escrito de demanda, y la Magistrada </w:t>
      </w:r>
      <w:proofErr w:type="gramStart"/>
      <w:r>
        <w:rPr>
          <w:rFonts w:ascii="Arial" w:eastAsia="Arial" w:hAnsi="Arial" w:cs="Arial"/>
          <w:sz w:val="24"/>
          <w:szCs w:val="24"/>
        </w:rPr>
        <w:t>Presidenta</w:t>
      </w:r>
      <w:proofErr w:type="gramEnd"/>
      <w:r>
        <w:rPr>
          <w:rFonts w:ascii="Arial" w:eastAsia="Arial" w:hAnsi="Arial" w:cs="Arial"/>
          <w:sz w:val="24"/>
          <w:szCs w:val="24"/>
        </w:rPr>
        <w:t xml:space="preserve"> ordenó el registro del asunto con el número de expediente TEEA-REP-001/2022 y lo turnó a la Ponencia de la Magistrada Laura Hortensia Llamas Hernández, quien en su oportunidad lo radicó, admitió y al no existir algún trámite pendiente, ordenó el cierre de instrucción.</w:t>
      </w:r>
      <w:r>
        <w:rPr>
          <w:rFonts w:ascii="Arial" w:eastAsia="Arial" w:hAnsi="Arial" w:cs="Arial"/>
          <w:sz w:val="24"/>
          <w:szCs w:val="24"/>
          <w:vertAlign w:val="superscript"/>
        </w:rPr>
        <w:footnoteReference w:id="4"/>
      </w:r>
    </w:p>
    <w:p w14:paraId="14CF9A77" w14:textId="77777777" w:rsidR="00AF4AAD" w:rsidRDefault="003D4366">
      <w:pPr>
        <w:numPr>
          <w:ilvl w:val="0"/>
          <w:numId w:val="2"/>
        </w:numPr>
        <w:pBdr>
          <w:top w:val="nil"/>
          <w:left w:val="nil"/>
          <w:bottom w:val="nil"/>
          <w:right w:val="nil"/>
          <w:between w:val="nil"/>
        </w:pBdr>
        <w:spacing w:after="160" w:line="259" w:lineRule="auto"/>
        <w:ind w:left="284" w:hanging="295"/>
        <w:rPr>
          <w:rFonts w:ascii="Arial" w:eastAsia="Arial" w:hAnsi="Arial" w:cs="Arial"/>
          <w:b/>
          <w:color w:val="000000"/>
          <w:sz w:val="24"/>
          <w:szCs w:val="24"/>
        </w:rPr>
      </w:pPr>
      <w:r>
        <w:rPr>
          <w:rFonts w:ascii="Arial" w:eastAsia="Arial" w:hAnsi="Arial" w:cs="Arial"/>
          <w:b/>
          <w:color w:val="000000"/>
          <w:sz w:val="24"/>
          <w:szCs w:val="24"/>
        </w:rPr>
        <w:t>Competencia</w:t>
      </w:r>
    </w:p>
    <w:p w14:paraId="7B657A41" w14:textId="77777777" w:rsidR="00AF4AAD" w:rsidRDefault="00AF4AAD">
      <w:pPr>
        <w:pBdr>
          <w:top w:val="nil"/>
          <w:left w:val="nil"/>
          <w:bottom w:val="nil"/>
          <w:right w:val="nil"/>
          <w:between w:val="nil"/>
        </w:pBdr>
        <w:rPr>
          <w:color w:val="000000"/>
        </w:rPr>
      </w:pPr>
    </w:p>
    <w:p w14:paraId="7F100433" w14:textId="1950267A" w:rsidR="00AF4AAD" w:rsidRDefault="003D4366">
      <w:pPr>
        <w:spacing w:line="360" w:lineRule="auto"/>
        <w:jc w:val="both"/>
        <w:rPr>
          <w:rFonts w:ascii="Arial" w:eastAsia="Arial" w:hAnsi="Arial" w:cs="Arial"/>
          <w:sz w:val="24"/>
          <w:szCs w:val="24"/>
        </w:rPr>
      </w:pPr>
      <w:r>
        <w:rPr>
          <w:rFonts w:ascii="Arial" w:eastAsia="Arial" w:hAnsi="Arial" w:cs="Arial"/>
          <w:sz w:val="24"/>
          <w:szCs w:val="24"/>
        </w:rPr>
        <w:t>Este Tribunal es competente para conocer y resolver el presente asunto, por tratarse de un recurso de revisión de un procedimiento especial sancionador, promovido por el representante del PAN y de la coalición “Va Por Aguascalientes”, ante el Instituto Local, en contra del acuerdo del Secretario Ejecutivo que tuvo por objeto desechar la denuncia interpuesta por el promovente en contra de la difusión de propaganda que, a su dicho, configura la infracción de calumnia en perjuicio de sus representados y de la candidata María Teresa Jiménez Esquivel. Lo anterior, de conformidad con los artículos 297, 337 y 353, fracción II del Código Electoral, en relación con el artículo 11, fracción III</w:t>
      </w:r>
      <w:r w:rsidR="00584AFC">
        <w:rPr>
          <w:rFonts w:ascii="Arial" w:eastAsia="Arial" w:hAnsi="Arial" w:cs="Arial"/>
          <w:sz w:val="24"/>
          <w:szCs w:val="24"/>
        </w:rPr>
        <w:t>,</w:t>
      </w:r>
      <w:r>
        <w:rPr>
          <w:rFonts w:ascii="Arial" w:eastAsia="Arial" w:hAnsi="Arial" w:cs="Arial"/>
          <w:sz w:val="24"/>
          <w:szCs w:val="24"/>
        </w:rPr>
        <w:t xml:space="preserve"> del Reglamento Interior. </w:t>
      </w:r>
    </w:p>
    <w:p w14:paraId="247E0AA5" w14:textId="77777777" w:rsidR="00AF4AAD" w:rsidRDefault="00AF4AAD">
      <w:pPr>
        <w:pBdr>
          <w:top w:val="nil"/>
          <w:left w:val="nil"/>
          <w:bottom w:val="nil"/>
          <w:right w:val="nil"/>
          <w:between w:val="nil"/>
        </w:pBdr>
        <w:rPr>
          <w:color w:val="000000"/>
        </w:rPr>
      </w:pPr>
    </w:p>
    <w:p w14:paraId="126B27FF" w14:textId="77777777" w:rsidR="00AF4AAD" w:rsidRDefault="003D4366">
      <w:pPr>
        <w:keepNext/>
        <w:numPr>
          <w:ilvl w:val="0"/>
          <w:numId w:val="2"/>
        </w:numPr>
        <w:pBdr>
          <w:top w:val="nil"/>
          <w:left w:val="nil"/>
          <w:bottom w:val="nil"/>
          <w:right w:val="nil"/>
          <w:between w:val="nil"/>
        </w:pBdr>
        <w:spacing w:after="160" w:line="360" w:lineRule="auto"/>
        <w:ind w:left="284" w:hanging="284"/>
        <w:rPr>
          <w:rFonts w:ascii="Arial" w:eastAsia="Arial" w:hAnsi="Arial" w:cs="Arial"/>
          <w:b/>
          <w:smallCaps/>
          <w:color w:val="000000"/>
          <w:sz w:val="24"/>
          <w:szCs w:val="24"/>
        </w:rPr>
      </w:pPr>
      <w:bookmarkStart w:id="3" w:name="_heading=h.1fob9te" w:colFirst="0" w:colLast="0"/>
      <w:bookmarkEnd w:id="3"/>
      <w:r>
        <w:rPr>
          <w:rFonts w:ascii="Arial" w:eastAsia="Arial" w:hAnsi="Arial" w:cs="Arial"/>
          <w:b/>
          <w:color w:val="000000"/>
          <w:sz w:val="24"/>
          <w:szCs w:val="24"/>
        </w:rPr>
        <w:t xml:space="preserve"> Procedencia </w:t>
      </w:r>
    </w:p>
    <w:p w14:paraId="33EA2320" w14:textId="77EBAB4A" w:rsidR="00AF4AAD" w:rsidRDefault="003D4366">
      <w:pPr>
        <w:spacing w:line="360" w:lineRule="auto"/>
        <w:jc w:val="both"/>
        <w:rPr>
          <w:rFonts w:ascii="Arial" w:eastAsia="Arial" w:hAnsi="Arial" w:cs="Arial"/>
          <w:sz w:val="24"/>
          <w:szCs w:val="24"/>
        </w:rPr>
      </w:pPr>
      <w:r>
        <w:rPr>
          <w:rFonts w:ascii="Arial" w:eastAsia="Arial" w:hAnsi="Arial" w:cs="Arial"/>
          <w:sz w:val="24"/>
          <w:szCs w:val="24"/>
        </w:rPr>
        <w:t>El recurso de revisión del procedimiento especial sancionador cumple con los requisitos de procedencia previstos en los artículos 297, 302, 307 fracción I</w:t>
      </w:r>
      <w:r w:rsidR="00584AFC">
        <w:rPr>
          <w:rFonts w:ascii="Arial" w:eastAsia="Arial" w:hAnsi="Arial" w:cs="Arial"/>
          <w:sz w:val="24"/>
          <w:szCs w:val="24"/>
        </w:rPr>
        <w:t xml:space="preserve">, y </w:t>
      </w:r>
      <w:r>
        <w:rPr>
          <w:rFonts w:ascii="Arial" w:eastAsia="Arial" w:hAnsi="Arial" w:cs="Arial"/>
          <w:sz w:val="24"/>
          <w:szCs w:val="24"/>
        </w:rPr>
        <w:t>353, fracción II</w:t>
      </w:r>
      <w:r w:rsidR="00584AFC">
        <w:rPr>
          <w:rFonts w:ascii="Arial" w:eastAsia="Arial" w:hAnsi="Arial" w:cs="Arial"/>
          <w:sz w:val="24"/>
          <w:szCs w:val="24"/>
        </w:rPr>
        <w:t xml:space="preserve">, </w:t>
      </w:r>
      <w:r>
        <w:rPr>
          <w:rFonts w:ascii="Arial" w:eastAsia="Arial" w:hAnsi="Arial" w:cs="Arial"/>
          <w:sz w:val="24"/>
          <w:szCs w:val="24"/>
        </w:rPr>
        <w:t>del Código Electoral.</w:t>
      </w:r>
    </w:p>
    <w:p w14:paraId="38525306" w14:textId="77777777" w:rsidR="00AF4AAD" w:rsidRDefault="00AF4AAD"/>
    <w:p w14:paraId="4947E332" w14:textId="77777777" w:rsidR="00AF4AAD" w:rsidRDefault="003D4366">
      <w:pPr>
        <w:spacing w:line="360" w:lineRule="auto"/>
        <w:jc w:val="both"/>
        <w:rPr>
          <w:rFonts w:ascii="Arial" w:eastAsia="Arial" w:hAnsi="Arial" w:cs="Arial"/>
          <w:b/>
          <w:sz w:val="24"/>
          <w:szCs w:val="24"/>
        </w:rPr>
      </w:pPr>
      <w:r>
        <w:rPr>
          <w:rFonts w:ascii="Arial" w:eastAsia="Arial" w:hAnsi="Arial" w:cs="Arial"/>
          <w:b/>
          <w:sz w:val="24"/>
          <w:szCs w:val="24"/>
        </w:rPr>
        <w:t xml:space="preserve">1. Forma. </w:t>
      </w:r>
      <w:r>
        <w:rPr>
          <w:rFonts w:ascii="Arial" w:eastAsia="Arial" w:hAnsi="Arial" w:cs="Arial"/>
          <w:sz w:val="24"/>
          <w:szCs w:val="24"/>
        </w:rPr>
        <w:t xml:space="preserve">La demanda cumple el presente requisito porque: </w:t>
      </w:r>
      <w:r>
        <w:rPr>
          <w:rFonts w:ascii="Arial" w:eastAsia="Arial" w:hAnsi="Arial" w:cs="Arial"/>
          <w:b/>
          <w:i/>
          <w:sz w:val="24"/>
          <w:szCs w:val="24"/>
        </w:rPr>
        <w:t>a)</w:t>
      </w:r>
      <w:r>
        <w:rPr>
          <w:rFonts w:ascii="Arial" w:eastAsia="Arial" w:hAnsi="Arial" w:cs="Arial"/>
          <w:b/>
          <w:sz w:val="24"/>
          <w:szCs w:val="24"/>
        </w:rPr>
        <w:t xml:space="preserve"> </w:t>
      </w:r>
      <w:r>
        <w:rPr>
          <w:rFonts w:ascii="Arial" w:eastAsia="Arial" w:hAnsi="Arial" w:cs="Arial"/>
          <w:sz w:val="24"/>
          <w:szCs w:val="24"/>
        </w:rPr>
        <w:t xml:space="preserve">fue presentada por escrito ante este Tribunal, </w:t>
      </w:r>
      <w:r>
        <w:rPr>
          <w:rFonts w:ascii="Arial" w:eastAsia="Arial" w:hAnsi="Arial" w:cs="Arial"/>
          <w:b/>
          <w:i/>
          <w:sz w:val="24"/>
          <w:szCs w:val="24"/>
        </w:rPr>
        <w:t>b)</w:t>
      </w:r>
      <w:r>
        <w:rPr>
          <w:rFonts w:ascii="Arial" w:eastAsia="Arial" w:hAnsi="Arial" w:cs="Arial"/>
          <w:sz w:val="24"/>
          <w:szCs w:val="24"/>
        </w:rPr>
        <w:t xml:space="preserve"> en ella se hace constar el nombre del recurrente, </w:t>
      </w:r>
      <w:r>
        <w:rPr>
          <w:rFonts w:ascii="Arial" w:eastAsia="Arial" w:hAnsi="Arial" w:cs="Arial"/>
          <w:b/>
          <w:i/>
          <w:sz w:val="24"/>
          <w:szCs w:val="24"/>
        </w:rPr>
        <w:t>c)</w:t>
      </w:r>
      <w:r>
        <w:rPr>
          <w:rFonts w:ascii="Arial" w:eastAsia="Arial" w:hAnsi="Arial" w:cs="Arial"/>
          <w:sz w:val="24"/>
          <w:szCs w:val="24"/>
        </w:rPr>
        <w:t xml:space="preserve"> identifica el acto impugnado y; </w:t>
      </w:r>
      <w:r>
        <w:rPr>
          <w:rFonts w:ascii="Arial" w:eastAsia="Arial" w:hAnsi="Arial" w:cs="Arial"/>
          <w:b/>
          <w:i/>
          <w:sz w:val="24"/>
          <w:szCs w:val="24"/>
        </w:rPr>
        <w:t>d)</w:t>
      </w:r>
      <w:r>
        <w:rPr>
          <w:rFonts w:ascii="Arial" w:eastAsia="Arial" w:hAnsi="Arial" w:cs="Arial"/>
          <w:sz w:val="24"/>
          <w:szCs w:val="24"/>
        </w:rPr>
        <w:t xml:space="preserve"> se enuncian los hechos y agravios en los que basan su impugnación, así como los preceptos presuntamente violados.</w:t>
      </w:r>
      <w:r>
        <w:rPr>
          <w:rFonts w:ascii="Arial" w:eastAsia="Arial" w:hAnsi="Arial" w:cs="Arial"/>
          <w:b/>
          <w:sz w:val="24"/>
          <w:szCs w:val="24"/>
        </w:rPr>
        <w:t xml:space="preserve"> </w:t>
      </w:r>
    </w:p>
    <w:p w14:paraId="65E3E315" w14:textId="77777777" w:rsidR="00AF4AAD" w:rsidRDefault="00AF4AAD">
      <w:pPr>
        <w:pBdr>
          <w:top w:val="nil"/>
          <w:left w:val="nil"/>
          <w:bottom w:val="nil"/>
          <w:right w:val="nil"/>
          <w:between w:val="nil"/>
        </w:pBdr>
        <w:rPr>
          <w:color w:val="000000"/>
        </w:rPr>
      </w:pPr>
    </w:p>
    <w:p w14:paraId="728B885F" w14:textId="77777777" w:rsidR="00AF4AAD" w:rsidRDefault="003D4366">
      <w:pPr>
        <w:spacing w:line="360" w:lineRule="auto"/>
        <w:jc w:val="both"/>
        <w:rPr>
          <w:rFonts w:ascii="Arial" w:eastAsia="Arial" w:hAnsi="Arial" w:cs="Arial"/>
          <w:sz w:val="24"/>
          <w:szCs w:val="24"/>
        </w:rPr>
      </w:pPr>
      <w:r>
        <w:rPr>
          <w:rFonts w:ascii="Arial" w:eastAsia="Arial" w:hAnsi="Arial" w:cs="Arial"/>
          <w:b/>
          <w:sz w:val="24"/>
          <w:szCs w:val="24"/>
        </w:rPr>
        <w:t xml:space="preserve">2. Oportunidad. </w:t>
      </w:r>
      <w:r>
        <w:rPr>
          <w:rFonts w:ascii="Arial" w:eastAsia="Arial" w:hAnsi="Arial" w:cs="Arial"/>
          <w:sz w:val="24"/>
          <w:szCs w:val="24"/>
        </w:rPr>
        <w:t>El medio de impugnación fue presentado en tiempo y forma, ya que el acto impugnado se emitió el 15 de abril y el recurso de revisión del procedimiento especial sancionador se promovió al día siguiente, por tanto, fue promovido dentro del plazo legal de 4 días.</w:t>
      </w:r>
    </w:p>
    <w:p w14:paraId="6DFBAC5B" w14:textId="77777777" w:rsidR="00AF4AAD" w:rsidRDefault="00AF4AAD">
      <w:pPr>
        <w:pBdr>
          <w:top w:val="nil"/>
          <w:left w:val="nil"/>
          <w:bottom w:val="nil"/>
          <w:right w:val="nil"/>
          <w:between w:val="nil"/>
        </w:pBdr>
        <w:rPr>
          <w:color w:val="000000"/>
        </w:rPr>
      </w:pPr>
    </w:p>
    <w:p w14:paraId="6B100509" w14:textId="77777777" w:rsidR="00AF4AAD" w:rsidRDefault="003D4366">
      <w:pPr>
        <w:spacing w:line="360" w:lineRule="auto"/>
        <w:jc w:val="both"/>
        <w:rPr>
          <w:rFonts w:ascii="Arial" w:eastAsia="Arial" w:hAnsi="Arial" w:cs="Arial"/>
          <w:sz w:val="24"/>
          <w:szCs w:val="24"/>
        </w:rPr>
      </w:pPr>
      <w:r>
        <w:rPr>
          <w:rFonts w:ascii="Arial" w:eastAsia="Arial" w:hAnsi="Arial" w:cs="Arial"/>
          <w:b/>
          <w:sz w:val="24"/>
          <w:szCs w:val="24"/>
        </w:rPr>
        <w:t xml:space="preserve">3. Legitimación y personería. </w:t>
      </w:r>
      <w:r>
        <w:rPr>
          <w:rFonts w:ascii="Arial" w:eastAsia="Arial" w:hAnsi="Arial" w:cs="Arial"/>
          <w:sz w:val="24"/>
          <w:szCs w:val="24"/>
        </w:rPr>
        <w:t xml:space="preserve">El medio de impugnación fue promovido por el ciudadano Israel Ángel Ramírez, representante del PAN y de la coalición “Va Por Aguascalientes”, personería que es reconocida por la autoridad responsable. </w:t>
      </w:r>
    </w:p>
    <w:p w14:paraId="609E0C59" w14:textId="77777777" w:rsidR="00AF4AAD" w:rsidRDefault="00AF4AAD">
      <w:pPr>
        <w:pBdr>
          <w:top w:val="nil"/>
          <w:left w:val="nil"/>
          <w:bottom w:val="nil"/>
          <w:right w:val="nil"/>
          <w:between w:val="nil"/>
        </w:pBdr>
        <w:rPr>
          <w:color w:val="000000"/>
        </w:rPr>
      </w:pPr>
    </w:p>
    <w:p w14:paraId="2A4CA9B2" w14:textId="77777777" w:rsidR="00AF4AAD" w:rsidRDefault="003D4366">
      <w:pPr>
        <w:spacing w:line="360" w:lineRule="auto"/>
        <w:jc w:val="both"/>
        <w:rPr>
          <w:rFonts w:ascii="Arial" w:eastAsia="Arial" w:hAnsi="Arial" w:cs="Arial"/>
          <w:sz w:val="24"/>
          <w:szCs w:val="24"/>
        </w:rPr>
      </w:pPr>
      <w:r>
        <w:rPr>
          <w:rFonts w:ascii="Arial" w:eastAsia="Arial" w:hAnsi="Arial" w:cs="Arial"/>
          <w:b/>
          <w:sz w:val="24"/>
          <w:szCs w:val="24"/>
        </w:rPr>
        <w:t xml:space="preserve">4. Interés jurídico. </w:t>
      </w:r>
      <w:r>
        <w:rPr>
          <w:rFonts w:ascii="Arial" w:eastAsia="Arial" w:hAnsi="Arial" w:cs="Arial"/>
          <w:sz w:val="24"/>
          <w:szCs w:val="24"/>
        </w:rPr>
        <w:t xml:space="preserve">Se satisface este requisito, porque el promovente controvierte el acuerdo de fecha 15 de abril, del </w:t>
      </w:r>
      <w:proofErr w:type="gramStart"/>
      <w:r>
        <w:rPr>
          <w:rFonts w:ascii="Arial" w:eastAsia="Arial" w:hAnsi="Arial" w:cs="Arial"/>
          <w:sz w:val="24"/>
          <w:szCs w:val="24"/>
        </w:rPr>
        <w:t>Secretario Ejecutivo</w:t>
      </w:r>
      <w:proofErr w:type="gramEnd"/>
      <w:r>
        <w:rPr>
          <w:rFonts w:ascii="Arial" w:eastAsia="Arial" w:hAnsi="Arial" w:cs="Arial"/>
          <w:sz w:val="24"/>
          <w:szCs w:val="24"/>
        </w:rPr>
        <w:t xml:space="preserve"> del Instituto local que tuvo por objeto </w:t>
      </w:r>
      <w:r>
        <w:rPr>
          <w:rFonts w:ascii="Arial" w:eastAsia="Arial" w:hAnsi="Arial" w:cs="Arial"/>
          <w:sz w:val="24"/>
          <w:szCs w:val="24"/>
        </w:rPr>
        <w:lastRenderedPageBreak/>
        <w:t>desechar la denuncia presentada por el ahora recurrente, en contra de la difusión de propaganda considerada calumniosa, en contra de sus representados y de la candidata de la coalición, María Teresa Jiménez Esquivel.</w:t>
      </w:r>
    </w:p>
    <w:p w14:paraId="5A16D2B3" w14:textId="77777777" w:rsidR="00AF4AAD" w:rsidRDefault="00AF4AAD">
      <w:pPr>
        <w:spacing w:line="360" w:lineRule="auto"/>
        <w:jc w:val="both"/>
      </w:pPr>
    </w:p>
    <w:p w14:paraId="389E1058" w14:textId="77777777" w:rsidR="00AF4AAD" w:rsidRDefault="003D4366">
      <w:pPr>
        <w:spacing w:line="360" w:lineRule="auto"/>
        <w:jc w:val="both"/>
        <w:rPr>
          <w:rFonts w:ascii="Arial" w:eastAsia="Arial" w:hAnsi="Arial" w:cs="Arial"/>
          <w:sz w:val="24"/>
          <w:szCs w:val="24"/>
        </w:rPr>
      </w:pPr>
      <w:r>
        <w:rPr>
          <w:rFonts w:ascii="Arial" w:eastAsia="Arial" w:hAnsi="Arial" w:cs="Arial"/>
          <w:b/>
          <w:sz w:val="24"/>
          <w:szCs w:val="24"/>
        </w:rPr>
        <w:t xml:space="preserve">5. Definitividad. </w:t>
      </w:r>
      <w:r>
        <w:rPr>
          <w:rFonts w:ascii="Arial" w:eastAsia="Arial" w:hAnsi="Arial" w:cs="Arial"/>
          <w:sz w:val="24"/>
          <w:szCs w:val="24"/>
        </w:rPr>
        <w:t>También se cumple este requisito, porque la ley electoral no prevé el agotamiento de alguna instancia previa al recurso de revisión del procedimiento especial sancionador, que pueda revocar, anular, modificar o confirmar, el acuerdo que ahora se controvierte.</w:t>
      </w:r>
    </w:p>
    <w:p w14:paraId="22E5C85A" w14:textId="77777777" w:rsidR="00AF4AAD" w:rsidRDefault="00AF4AAD">
      <w:pPr>
        <w:pBdr>
          <w:top w:val="nil"/>
          <w:left w:val="nil"/>
          <w:bottom w:val="nil"/>
          <w:right w:val="nil"/>
          <w:between w:val="nil"/>
        </w:pBdr>
        <w:rPr>
          <w:color w:val="000000"/>
          <w:sz w:val="16"/>
          <w:szCs w:val="16"/>
        </w:rPr>
      </w:pPr>
    </w:p>
    <w:p w14:paraId="6443EA01" w14:textId="77777777" w:rsidR="00AF4AAD" w:rsidRDefault="003D4366">
      <w:pPr>
        <w:pStyle w:val="Ttulo1"/>
        <w:rPr>
          <w:smallCaps w:val="0"/>
        </w:rPr>
      </w:pPr>
      <w:bookmarkStart w:id="4" w:name="_heading=h.3znysh7" w:colFirst="0" w:colLast="0"/>
      <w:bookmarkEnd w:id="4"/>
      <w:r>
        <w:rPr>
          <w:smallCaps w:val="0"/>
        </w:rPr>
        <w:t>IV. Estudio de fondo</w:t>
      </w:r>
    </w:p>
    <w:p w14:paraId="1C7502E1" w14:textId="77777777" w:rsidR="00AF4AAD" w:rsidRDefault="00AF4AAD">
      <w:pPr>
        <w:pBdr>
          <w:top w:val="nil"/>
          <w:left w:val="nil"/>
          <w:bottom w:val="nil"/>
          <w:right w:val="nil"/>
          <w:between w:val="nil"/>
        </w:pBdr>
        <w:rPr>
          <w:color w:val="000000"/>
        </w:rPr>
      </w:pPr>
    </w:p>
    <w:p w14:paraId="4FFC3566" w14:textId="77777777" w:rsidR="00AF4AAD" w:rsidRDefault="003D4366">
      <w:pPr>
        <w:pStyle w:val="Ttulo1"/>
        <w:jc w:val="left"/>
      </w:pPr>
      <w:bookmarkStart w:id="5" w:name="_heading=h.2et92p0" w:colFirst="0" w:colLast="0"/>
      <w:bookmarkEnd w:id="5"/>
      <w:r>
        <w:rPr>
          <w:smallCaps w:val="0"/>
          <w:u w:val="single"/>
        </w:rPr>
        <w:t>Apartado preliminar</w:t>
      </w:r>
      <w:r>
        <w:rPr>
          <w:smallCaps w:val="0"/>
        </w:rPr>
        <w:t xml:space="preserve">. Definición de la materia de la controversia </w:t>
      </w:r>
    </w:p>
    <w:p w14:paraId="199964B8" w14:textId="77777777" w:rsidR="00AF4AAD" w:rsidRDefault="00AF4AAD">
      <w:pPr>
        <w:pBdr>
          <w:top w:val="nil"/>
          <w:left w:val="nil"/>
          <w:bottom w:val="nil"/>
          <w:right w:val="nil"/>
          <w:between w:val="nil"/>
        </w:pBdr>
        <w:rPr>
          <w:color w:val="000000"/>
        </w:rPr>
      </w:pPr>
    </w:p>
    <w:p w14:paraId="2CB9B871" w14:textId="5DAC4F54" w:rsidR="00AF4AAD" w:rsidRDefault="003D4366">
      <w:pPr>
        <w:spacing w:line="360" w:lineRule="auto"/>
        <w:jc w:val="both"/>
        <w:rPr>
          <w:rFonts w:ascii="Arial" w:eastAsia="Arial" w:hAnsi="Arial" w:cs="Arial"/>
          <w:sz w:val="24"/>
          <w:szCs w:val="24"/>
        </w:rPr>
      </w:pPr>
      <w:bookmarkStart w:id="6" w:name="_heading=h.tyjcwt" w:colFirst="0" w:colLast="0"/>
      <w:bookmarkEnd w:id="6"/>
      <w:r>
        <w:rPr>
          <w:rFonts w:ascii="Arial" w:eastAsia="Arial" w:hAnsi="Arial" w:cs="Arial"/>
          <w:b/>
          <w:sz w:val="24"/>
          <w:szCs w:val="24"/>
        </w:rPr>
        <w:t>a) Acto impugnado.</w:t>
      </w:r>
      <w:r>
        <w:rPr>
          <w:rFonts w:ascii="Arial" w:eastAsia="Arial" w:hAnsi="Arial" w:cs="Arial"/>
          <w:sz w:val="24"/>
          <w:szCs w:val="24"/>
        </w:rPr>
        <w:t xml:space="preserve"> El Secretario Ejecutivo emitió un acuerdo que tuvo por objeto desechar la denuncia presentada por el representante suplente del PAN ante el Consejo General del Instituto Local, en la cual cuestionó la existencia de calumnia en contra de su instituto político y de su candidata postulada para el proceso electoral de gubernatura en Aguascalientes,  al considerar que fue omiso en atender el requerimiento relativo a que el hecho de que denunciara la infracción de calumnia, esta s</w:t>
      </w:r>
      <w:r w:rsidR="0039474A">
        <w:rPr>
          <w:rFonts w:ascii="Arial" w:eastAsia="Arial" w:hAnsi="Arial" w:cs="Arial"/>
          <w:sz w:val="24"/>
          <w:szCs w:val="24"/>
        </w:rPr>
        <w:t>ó</w:t>
      </w:r>
      <w:r>
        <w:rPr>
          <w:rFonts w:ascii="Arial" w:eastAsia="Arial" w:hAnsi="Arial" w:cs="Arial"/>
          <w:sz w:val="24"/>
          <w:szCs w:val="24"/>
        </w:rPr>
        <w:t xml:space="preserve">lo podía hacerla valer la parte afectada, por la cual, su escrito de queja debía ser ratificado por la candidata en cuestión y no sólo por el partido político denunciante. </w:t>
      </w:r>
    </w:p>
    <w:p w14:paraId="6BE59978" w14:textId="77777777" w:rsidR="00AF4AAD" w:rsidRDefault="00AF4AAD">
      <w:pPr>
        <w:pBdr>
          <w:top w:val="nil"/>
          <w:left w:val="nil"/>
          <w:bottom w:val="nil"/>
          <w:right w:val="nil"/>
          <w:between w:val="nil"/>
        </w:pBdr>
        <w:rPr>
          <w:color w:val="000000"/>
        </w:rPr>
      </w:pPr>
      <w:bookmarkStart w:id="7" w:name="_heading=h.vfvv1hom3col" w:colFirst="0" w:colLast="0"/>
      <w:bookmarkEnd w:id="7"/>
    </w:p>
    <w:p w14:paraId="623D894D" w14:textId="77777777" w:rsidR="00AF4AAD" w:rsidRDefault="003D4366">
      <w:pPr>
        <w:spacing w:line="360" w:lineRule="auto"/>
        <w:jc w:val="both"/>
        <w:rPr>
          <w:rFonts w:ascii="Arial" w:eastAsia="Arial" w:hAnsi="Arial" w:cs="Arial"/>
          <w:sz w:val="24"/>
          <w:szCs w:val="24"/>
        </w:rPr>
      </w:pPr>
      <w:r>
        <w:rPr>
          <w:rFonts w:ascii="Arial" w:eastAsia="Arial" w:hAnsi="Arial" w:cs="Arial"/>
          <w:b/>
          <w:sz w:val="24"/>
          <w:szCs w:val="24"/>
        </w:rPr>
        <w:t xml:space="preserve">b) Pretensión y planteamientos. </w:t>
      </w:r>
      <w:r>
        <w:rPr>
          <w:rFonts w:ascii="Arial" w:eastAsia="Arial" w:hAnsi="Arial" w:cs="Arial"/>
          <w:sz w:val="24"/>
          <w:szCs w:val="24"/>
        </w:rPr>
        <w:t>El promovente pretende que se revoque el acuerdo que desechó su denuncia, porque considera que el representante del instituto político ante la autoridad administrativa, por sí sólo, tiene legitimación activa para denunciar calumnia tanto en contra del propio partido como de sus candidaturas postuladas.</w:t>
      </w:r>
      <w:r>
        <w:rPr>
          <w:rFonts w:ascii="Arial" w:eastAsia="Arial" w:hAnsi="Arial" w:cs="Arial"/>
          <w:b/>
          <w:sz w:val="24"/>
          <w:szCs w:val="24"/>
        </w:rPr>
        <w:t xml:space="preserve"> </w:t>
      </w:r>
      <w:r>
        <w:rPr>
          <w:rFonts w:ascii="Arial" w:eastAsia="Arial" w:hAnsi="Arial" w:cs="Arial"/>
          <w:sz w:val="24"/>
          <w:szCs w:val="24"/>
        </w:rPr>
        <w:t xml:space="preserve">Para lograr esto plantea, esencialmente, que la autoridad responsable dejó de exponer los argumentos que explicaran y sustentaran la determinación de haber desechado su escrito de denuncia. </w:t>
      </w:r>
    </w:p>
    <w:p w14:paraId="6DC940C9" w14:textId="77777777" w:rsidR="00AF4AAD" w:rsidRDefault="00AF4AAD">
      <w:pPr>
        <w:jc w:val="both"/>
        <w:rPr>
          <w:rFonts w:ascii="Arial" w:eastAsia="Arial" w:hAnsi="Arial" w:cs="Arial"/>
          <w:sz w:val="24"/>
          <w:szCs w:val="24"/>
        </w:rPr>
      </w:pPr>
    </w:p>
    <w:p w14:paraId="5CC75BD9" w14:textId="77777777" w:rsidR="00AF4AAD" w:rsidRDefault="003D4366">
      <w:pPr>
        <w:spacing w:line="360" w:lineRule="auto"/>
        <w:jc w:val="both"/>
        <w:rPr>
          <w:rFonts w:ascii="Arial" w:eastAsia="Arial" w:hAnsi="Arial" w:cs="Arial"/>
          <w:sz w:val="24"/>
          <w:szCs w:val="24"/>
        </w:rPr>
      </w:pPr>
      <w:r>
        <w:rPr>
          <w:rFonts w:ascii="Arial" w:eastAsia="Arial" w:hAnsi="Arial" w:cs="Arial"/>
          <w:b/>
          <w:sz w:val="24"/>
          <w:szCs w:val="24"/>
        </w:rPr>
        <w:t xml:space="preserve">c) Cuestión a resolver. </w:t>
      </w:r>
      <w:r>
        <w:rPr>
          <w:rFonts w:ascii="Arial" w:eastAsia="Arial" w:hAnsi="Arial" w:cs="Arial"/>
          <w:sz w:val="24"/>
          <w:szCs w:val="24"/>
        </w:rPr>
        <w:t>En atención a lo expuesto, este órgano jurisdiccional considera que</w:t>
      </w:r>
      <w:r>
        <w:rPr>
          <w:rFonts w:ascii="Arial" w:eastAsia="Arial" w:hAnsi="Arial" w:cs="Arial"/>
          <w:b/>
          <w:sz w:val="24"/>
          <w:szCs w:val="24"/>
        </w:rPr>
        <w:t xml:space="preserve"> </w:t>
      </w:r>
      <w:r>
        <w:rPr>
          <w:rFonts w:ascii="Arial" w:eastAsia="Arial" w:hAnsi="Arial" w:cs="Arial"/>
          <w:sz w:val="24"/>
          <w:szCs w:val="24"/>
        </w:rPr>
        <w:t xml:space="preserve">la materia de la presente controversia consiste en definir: </w:t>
      </w:r>
    </w:p>
    <w:p w14:paraId="671B8559" w14:textId="77777777" w:rsidR="00AF4AAD" w:rsidRDefault="00AF4AAD">
      <w:pPr>
        <w:jc w:val="both"/>
        <w:rPr>
          <w:rFonts w:ascii="Arial" w:eastAsia="Arial" w:hAnsi="Arial" w:cs="Arial"/>
          <w:sz w:val="24"/>
          <w:szCs w:val="24"/>
        </w:rPr>
      </w:pPr>
    </w:p>
    <w:p w14:paraId="25D7884B" w14:textId="77777777" w:rsidR="00AF4AAD" w:rsidRDefault="003D4366" w:rsidP="006A7B95">
      <w:pPr>
        <w:numPr>
          <w:ilvl w:val="0"/>
          <w:numId w:val="1"/>
        </w:numPr>
        <w:tabs>
          <w:tab w:val="left" w:pos="426"/>
        </w:tabs>
        <w:spacing w:line="360" w:lineRule="auto"/>
        <w:ind w:left="0" w:firstLine="0"/>
        <w:jc w:val="both"/>
        <w:rPr>
          <w:rFonts w:ascii="Arial" w:eastAsia="Arial" w:hAnsi="Arial" w:cs="Arial"/>
          <w:sz w:val="24"/>
          <w:szCs w:val="24"/>
        </w:rPr>
      </w:pPr>
      <w:r>
        <w:rPr>
          <w:rFonts w:ascii="Arial" w:eastAsia="Arial" w:hAnsi="Arial" w:cs="Arial"/>
          <w:sz w:val="24"/>
          <w:szCs w:val="24"/>
        </w:rPr>
        <w:t>¿Si un partido político tiene legitimación activa para denunciar calumnia contra el propio instituto y sus integrantes, (tomando en cuenta que el marco normativo vigente, establece que la infracción de calumnia sólo podrá perseguirse por la parte afectada)?</w:t>
      </w:r>
    </w:p>
    <w:p w14:paraId="58945A5E" w14:textId="77777777" w:rsidR="00AF4AAD" w:rsidRDefault="00AF4AAD">
      <w:pPr>
        <w:pBdr>
          <w:top w:val="nil"/>
          <w:left w:val="nil"/>
          <w:bottom w:val="nil"/>
          <w:right w:val="nil"/>
          <w:between w:val="nil"/>
        </w:pBdr>
        <w:rPr>
          <w:color w:val="000000"/>
        </w:rPr>
      </w:pPr>
    </w:p>
    <w:p w14:paraId="4E5BC008" w14:textId="77777777" w:rsidR="00AF4AAD" w:rsidRDefault="003D4366">
      <w:pPr>
        <w:pStyle w:val="Ttulo1"/>
        <w:jc w:val="left"/>
        <w:rPr>
          <w:smallCaps w:val="0"/>
        </w:rPr>
      </w:pPr>
      <w:bookmarkStart w:id="8" w:name="_heading=h.3dy6vkm" w:colFirst="0" w:colLast="0"/>
      <w:bookmarkEnd w:id="8"/>
      <w:r>
        <w:rPr>
          <w:smallCaps w:val="0"/>
          <w:u w:val="single"/>
        </w:rPr>
        <w:t>Apartado I.</w:t>
      </w:r>
      <w:r>
        <w:rPr>
          <w:smallCaps w:val="0"/>
        </w:rPr>
        <w:t xml:space="preserve"> Decisión </w:t>
      </w:r>
    </w:p>
    <w:p w14:paraId="30E2E4B9" w14:textId="77777777" w:rsidR="00AF4AAD" w:rsidRDefault="00AF4AAD">
      <w:pPr>
        <w:pBdr>
          <w:top w:val="nil"/>
          <w:left w:val="nil"/>
          <w:bottom w:val="nil"/>
          <w:right w:val="nil"/>
          <w:between w:val="nil"/>
        </w:pBdr>
        <w:rPr>
          <w:color w:val="000000"/>
        </w:rPr>
      </w:pPr>
    </w:p>
    <w:p w14:paraId="0B6D63AE" w14:textId="77777777" w:rsidR="00AF4AAD" w:rsidRDefault="003D4366">
      <w:pPr>
        <w:spacing w:line="360" w:lineRule="auto"/>
        <w:jc w:val="both"/>
        <w:rPr>
          <w:rFonts w:ascii="Arial" w:eastAsia="Arial" w:hAnsi="Arial" w:cs="Arial"/>
          <w:sz w:val="24"/>
          <w:szCs w:val="24"/>
        </w:rPr>
      </w:pPr>
      <w:r>
        <w:rPr>
          <w:rFonts w:ascii="Arial" w:eastAsia="Arial" w:hAnsi="Arial" w:cs="Arial"/>
          <w:sz w:val="24"/>
          <w:szCs w:val="24"/>
        </w:rPr>
        <w:t xml:space="preserve">Este Tribunal Electoral considera que </w:t>
      </w:r>
      <w:r>
        <w:rPr>
          <w:rFonts w:ascii="Arial" w:eastAsia="Arial" w:hAnsi="Arial" w:cs="Arial"/>
          <w:b/>
          <w:sz w:val="24"/>
          <w:szCs w:val="24"/>
        </w:rPr>
        <w:t xml:space="preserve">debe revocarse el acuerdo del </w:t>
      </w:r>
      <w:proofErr w:type="gramStart"/>
      <w:r>
        <w:rPr>
          <w:rFonts w:ascii="Arial" w:eastAsia="Arial" w:hAnsi="Arial" w:cs="Arial"/>
          <w:b/>
          <w:sz w:val="24"/>
          <w:szCs w:val="24"/>
        </w:rPr>
        <w:t>Secretario Ejecutivo</w:t>
      </w:r>
      <w:proofErr w:type="gramEnd"/>
      <w:r>
        <w:rPr>
          <w:rFonts w:ascii="Arial" w:eastAsia="Arial" w:hAnsi="Arial" w:cs="Arial"/>
          <w:b/>
          <w:sz w:val="24"/>
          <w:szCs w:val="24"/>
        </w:rPr>
        <w:t xml:space="preserve"> </w:t>
      </w:r>
      <w:r>
        <w:rPr>
          <w:rFonts w:ascii="Arial" w:eastAsia="Arial" w:hAnsi="Arial" w:cs="Arial"/>
          <w:sz w:val="24"/>
          <w:szCs w:val="24"/>
        </w:rPr>
        <w:t xml:space="preserve">que tuvo por objeto desechar la denuncia presentada por el representante suplente del PAN ante el Consejo General del Instituto Local, en la cual cuestionó la existencia de calumnia en contra de sus instituto político y la candidata postulada para el proceso electoral de gubernatura en Aguascalientes. </w:t>
      </w:r>
    </w:p>
    <w:p w14:paraId="7E95AED9" w14:textId="77777777" w:rsidR="00AF4AAD" w:rsidRDefault="00AF4AAD">
      <w:pPr>
        <w:jc w:val="both"/>
        <w:rPr>
          <w:rFonts w:ascii="Arial" w:eastAsia="Arial" w:hAnsi="Arial" w:cs="Arial"/>
          <w:sz w:val="24"/>
          <w:szCs w:val="24"/>
        </w:rPr>
      </w:pPr>
    </w:p>
    <w:p w14:paraId="4F61B437" w14:textId="77777777" w:rsidR="00AF4AAD" w:rsidRDefault="003D4366">
      <w:pPr>
        <w:spacing w:line="360" w:lineRule="auto"/>
        <w:jc w:val="both"/>
        <w:rPr>
          <w:rFonts w:ascii="Arial" w:eastAsia="Arial" w:hAnsi="Arial" w:cs="Arial"/>
          <w:sz w:val="24"/>
          <w:szCs w:val="24"/>
        </w:rPr>
      </w:pPr>
      <w:r>
        <w:rPr>
          <w:rFonts w:ascii="Arial" w:eastAsia="Arial" w:hAnsi="Arial" w:cs="Arial"/>
          <w:sz w:val="24"/>
          <w:szCs w:val="24"/>
        </w:rPr>
        <w:t xml:space="preserve">Lo anterior, porque este órgano jurisdiccional considera que, distinto a lo que sostuvo la autoridad responsable, </w:t>
      </w:r>
      <w:r>
        <w:rPr>
          <w:rFonts w:ascii="Arial" w:eastAsia="Arial" w:hAnsi="Arial" w:cs="Arial"/>
          <w:b/>
          <w:sz w:val="24"/>
          <w:szCs w:val="24"/>
        </w:rPr>
        <w:t>los partidos políticos sí cuentan con legitimación</w:t>
      </w:r>
      <w:r>
        <w:rPr>
          <w:rFonts w:ascii="Arial" w:eastAsia="Arial" w:hAnsi="Arial" w:cs="Arial"/>
          <w:sz w:val="24"/>
          <w:szCs w:val="24"/>
        </w:rPr>
        <w:t xml:space="preserve"> para denunciar calumnia en contra de sus candidaturas, en atención al vínculo indisoluble que existe entre estos; con independencia de que en la normativa local, se prevea que tal infracción únicamente puede ser cuestionada por la parte afectada, pues la extensión del criterio, es resultado de una línea judicial sostenida por la Sala Superior. </w:t>
      </w:r>
    </w:p>
    <w:p w14:paraId="724B85B5" w14:textId="77777777" w:rsidR="00AF4AAD" w:rsidRDefault="00AF4AAD">
      <w:pPr>
        <w:pBdr>
          <w:top w:val="nil"/>
          <w:left w:val="nil"/>
          <w:bottom w:val="nil"/>
          <w:right w:val="nil"/>
          <w:between w:val="nil"/>
        </w:pBdr>
        <w:rPr>
          <w:color w:val="000000"/>
        </w:rPr>
      </w:pPr>
    </w:p>
    <w:p w14:paraId="565567E4" w14:textId="77777777" w:rsidR="00AF4AAD" w:rsidRDefault="003D4366">
      <w:pPr>
        <w:pStyle w:val="Ttulo1"/>
        <w:jc w:val="left"/>
        <w:rPr>
          <w:smallCaps w:val="0"/>
        </w:rPr>
      </w:pPr>
      <w:bookmarkStart w:id="9" w:name="_heading=h.2s8eyo1" w:colFirst="0" w:colLast="0"/>
      <w:bookmarkEnd w:id="9"/>
      <w:r>
        <w:rPr>
          <w:smallCaps w:val="0"/>
          <w:u w:val="single"/>
        </w:rPr>
        <w:t>Apartado II.</w:t>
      </w:r>
      <w:r>
        <w:rPr>
          <w:smallCaps w:val="0"/>
        </w:rPr>
        <w:t xml:space="preserve"> Desarrollo y justificación de la decisión</w:t>
      </w:r>
    </w:p>
    <w:p w14:paraId="257F687A" w14:textId="77777777" w:rsidR="00AF4AAD" w:rsidRDefault="00AF4AAD">
      <w:pPr>
        <w:pBdr>
          <w:top w:val="nil"/>
          <w:left w:val="nil"/>
          <w:bottom w:val="nil"/>
          <w:right w:val="nil"/>
          <w:between w:val="nil"/>
        </w:pBdr>
        <w:rPr>
          <w:color w:val="000000"/>
          <w:sz w:val="14"/>
          <w:szCs w:val="14"/>
        </w:rPr>
      </w:pPr>
    </w:p>
    <w:p w14:paraId="23D7D136" w14:textId="77777777" w:rsidR="00AF4AAD" w:rsidRDefault="003D4366">
      <w:pPr>
        <w:spacing w:line="360" w:lineRule="auto"/>
        <w:jc w:val="both"/>
        <w:rPr>
          <w:rFonts w:ascii="Arial" w:eastAsia="Arial" w:hAnsi="Arial" w:cs="Arial"/>
          <w:b/>
          <w:sz w:val="24"/>
          <w:szCs w:val="24"/>
        </w:rPr>
      </w:pPr>
      <w:r>
        <w:rPr>
          <w:rFonts w:ascii="Arial" w:eastAsia="Arial" w:hAnsi="Arial" w:cs="Arial"/>
          <w:b/>
          <w:sz w:val="24"/>
          <w:szCs w:val="24"/>
        </w:rPr>
        <w:t>1. Marco normativo de la legitimación de un partido político para denunciar calumnia</w:t>
      </w:r>
    </w:p>
    <w:p w14:paraId="2981C3A2" w14:textId="77777777" w:rsidR="00AF4AAD" w:rsidRDefault="003D4366">
      <w:pPr>
        <w:pBdr>
          <w:top w:val="nil"/>
          <w:left w:val="nil"/>
          <w:bottom w:val="nil"/>
          <w:right w:val="nil"/>
          <w:between w:val="nil"/>
        </w:pBdr>
        <w:rPr>
          <w:color w:val="000000"/>
        </w:rPr>
      </w:pPr>
      <w:r>
        <w:rPr>
          <w:color w:val="000000"/>
        </w:rPr>
        <w:t xml:space="preserve"> </w:t>
      </w:r>
    </w:p>
    <w:p w14:paraId="723AEE79" w14:textId="77777777" w:rsidR="00AF4AAD" w:rsidRDefault="003D4366">
      <w:pPr>
        <w:spacing w:line="360" w:lineRule="auto"/>
        <w:jc w:val="both"/>
        <w:rPr>
          <w:rFonts w:ascii="Arial" w:eastAsia="Arial" w:hAnsi="Arial" w:cs="Arial"/>
          <w:sz w:val="24"/>
          <w:szCs w:val="24"/>
        </w:rPr>
      </w:pPr>
      <w:r>
        <w:rPr>
          <w:rFonts w:ascii="Arial" w:eastAsia="Arial" w:hAnsi="Arial" w:cs="Arial"/>
          <w:sz w:val="24"/>
          <w:szCs w:val="24"/>
        </w:rPr>
        <w:t>El artículo 244, fracción IV, del Código Electoral</w:t>
      </w:r>
      <w:r>
        <w:rPr>
          <w:rFonts w:ascii="Arial" w:eastAsia="Arial" w:hAnsi="Arial" w:cs="Arial"/>
          <w:sz w:val="24"/>
          <w:szCs w:val="24"/>
          <w:vertAlign w:val="superscript"/>
        </w:rPr>
        <w:footnoteReference w:id="5"/>
      </w:r>
      <w:r>
        <w:rPr>
          <w:rFonts w:ascii="Arial" w:eastAsia="Arial" w:hAnsi="Arial" w:cs="Arial"/>
          <w:sz w:val="24"/>
          <w:szCs w:val="24"/>
        </w:rPr>
        <w:t xml:space="preserve">, establece que una de las infracciones en que pueden incurrir las y los candidatos a cargos de elección popular, es la difusión de propaganda política o electoral que calumnie a las personas.  </w:t>
      </w:r>
    </w:p>
    <w:p w14:paraId="59DB82E1" w14:textId="77777777" w:rsidR="00AF4AAD" w:rsidRDefault="00AF4AAD">
      <w:pPr>
        <w:pBdr>
          <w:top w:val="nil"/>
          <w:left w:val="nil"/>
          <w:bottom w:val="nil"/>
          <w:right w:val="nil"/>
          <w:between w:val="nil"/>
        </w:pBdr>
        <w:rPr>
          <w:color w:val="000000"/>
        </w:rPr>
      </w:pPr>
    </w:p>
    <w:p w14:paraId="5538D35E" w14:textId="77777777" w:rsidR="00AF4AAD" w:rsidRDefault="003D4366">
      <w:pPr>
        <w:spacing w:line="360" w:lineRule="auto"/>
        <w:jc w:val="both"/>
        <w:rPr>
          <w:rFonts w:ascii="Arial" w:eastAsia="Arial" w:hAnsi="Arial" w:cs="Arial"/>
          <w:sz w:val="24"/>
          <w:szCs w:val="24"/>
        </w:rPr>
      </w:pPr>
      <w:r>
        <w:rPr>
          <w:rFonts w:ascii="Arial" w:eastAsia="Arial" w:hAnsi="Arial" w:cs="Arial"/>
          <w:sz w:val="24"/>
          <w:szCs w:val="24"/>
        </w:rPr>
        <w:t>Posteriormente, en el artículo 269 de dicho ordenamiento</w:t>
      </w:r>
      <w:r>
        <w:rPr>
          <w:rFonts w:ascii="Arial" w:eastAsia="Arial" w:hAnsi="Arial" w:cs="Arial"/>
          <w:sz w:val="24"/>
          <w:szCs w:val="24"/>
          <w:vertAlign w:val="superscript"/>
        </w:rPr>
        <w:footnoteReference w:id="6"/>
      </w:r>
      <w:r>
        <w:rPr>
          <w:rFonts w:ascii="Arial" w:eastAsia="Arial" w:hAnsi="Arial" w:cs="Arial"/>
          <w:sz w:val="24"/>
          <w:szCs w:val="24"/>
        </w:rPr>
        <w:t xml:space="preserve">, prevé que los procedimientos relacionados con la difusión de propaganda política electoral, realizada por partidos políticos o candidaturas que calumnien, discriminen o denigren a las personas, solo podrá iniciar a instancia de parte afectada. </w:t>
      </w:r>
    </w:p>
    <w:p w14:paraId="0011B0FE" w14:textId="77777777" w:rsidR="00AF4AAD" w:rsidRDefault="00AF4AAD">
      <w:pPr>
        <w:pBdr>
          <w:top w:val="nil"/>
          <w:left w:val="nil"/>
          <w:bottom w:val="nil"/>
          <w:right w:val="nil"/>
          <w:between w:val="nil"/>
        </w:pBdr>
        <w:rPr>
          <w:color w:val="000000"/>
        </w:rPr>
      </w:pPr>
    </w:p>
    <w:p w14:paraId="41BFACB5" w14:textId="77777777" w:rsidR="00AF4AAD" w:rsidRDefault="003D4366">
      <w:pPr>
        <w:spacing w:line="360" w:lineRule="auto"/>
        <w:jc w:val="both"/>
        <w:rPr>
          <w:rFonts w:ascii="Arial" w:eastAsia="Arial" w:hAnsi="Arial" w:cs="Arial"/>
          <w:sz w:val="24"/>
          <w:szCs w:val="24"/>
        </w:rPr>
      </w:pPr>
      <w:r>
        <w:rPr>
          <w:rFonts w:ascii="Arial" w:eastAsia="Arial" w:hAnsi="Arial" w:cs="Arial"/>
          <w:sz w:val="24"/>
          <w:szCs w:val="24"/>
        </w:rPr>
        <w:t xml:space="preserve">No obstante, el Máximo Tribunal electoral se ha pronunciado respecto de los sujetos pasivos de la calumnia electoral, concluyendo lo siguiente: </w:t>
      </w:r>
      <w:r>
        <w:rPr>
          <w:rFonts w:ascii="Arial" w:eastAsia="Arial" w:hAnsi="Arial" w:cs="Arial"/>
          <w:b/>
          <w:i/>
          <w:sz w:val="24"/>
          <w:szCs w:val="24"/>
        </w:rPr>
        <w:t>i)</w:t>
      </w:r>
      <w:r>
        <w:rPr>
          <w:rFonts w:ascii="Arial" w:eastAsia="Arial" w:hAnsi="Arial" w:cs="Arial"/>
          <w:sz w:val="24"/>
          <w:szCs w:val="24"/>
        </w:rPr>
        <w:t xml:space="preserve"> la única limitación es que sea un sujeto concreto, y </w:t>
      </w:r>
      <w:proofErr w:type="spellStart"/>
      <w:r>
        <w:rPr>
          <w:rFonts w:ascii="Arial" w:eastAsia="Arial" w:hAnsi="Arial" w:cs="Arial"/>
          <w:b/>
          <w:i/>
          <w:sz w:val="24"/>
          <w:szCs w:val="24"/>
        </w:rPr>
        <w:t>ii</w:t>
      </w:r>
      <w:proofErr w:type="spellEnd"/>
      <w:r>
        <w:rPr>
          <w:rFonts w:ascii="Arial" w:eastAsia="Arial" w:hAnsi="Arial" w:cs="Arial"/>
          <w:b/>
          <w:i/>
          <w:sz w:val="24"/>
          <w:szCs w:val="24"/>
        </w:rPr>
        <w:t>)</w:t>
      </w:r>
      <w:r>
        <w:rPr>
          <w:rFonts w:ascii="Arial" w:eastAsia="Arial" w:hAnsi="Arial" w:cs="Arial"/>
          <w:sz w:val="24"/>
          <w:szCs w:val="24"/>
        </w:rPr>
        <w:t xml:space="preserve"> sí pueden ser personas morales. Por tanto, los partidos políticos pueden denunciar imputaciones de hechos falsos que demeriten su imagen ante la ciudadanía y los electores.</w:t>
      </w:r>
      <w:r>
        <w:rPr>
          <w:rFonts w:ascii="Arial" w:eastAsia="Arial" w:hAnsi="Arial" w:cs="Arial"/>
          <w:sz w:val="24"/>
          <w:szCs w:val="24"/>
          <w:vertAlign w:val="superscript"/>
        </w:rPr>
        <w:footnoteReference w:id="7"/>
      </w:r>
      <w:r>
        <w:rPr>
          <w:rFonts w:ascii="Arial" w:eastAsia="Arial" w:hAnsi="Arial" w:cs="Arial"/>
          <w:sz w:val="24"/>
          <w:szCs w:val="24"/>
        </w:rPr>
        <w:t xml:space="preserve"> </w:t>
      </w:r>
    </w:p>
    <w:p w14:paraId="71516A94" w14:textId="77777777" w:rsidR="00AF4AAD" w:rsidRDefault="00AF4AAD">
      <w:pPr>
        <w:pBdr>
          <w:top w:val="nil"/>
          <w:left w:val="nil"/>
          <w:bottom w:val="nil"/>
          <w:right w:val="nil"/>
          <w:between w:val="nil"/>
        </w:pBdr>
        <w:rPr>
          <w:color w:val="000000"/>
        </w:rPr>
      </w:pPr>
    </w:p>
    <w:p w14:paraId="5B729A89" w14:textId="77777777" w:rsidR="00AF4AAD" w:rsidRDefault="003D4366">
      <w:pPr>
        <w:spacing w:line="360" w:lineRule="auto"/>
        <w:jc w:val="both"/>
        <w:rPr>
          <w:rFonts w:ascii="Arial" w:eastAsia="Arial" w:hAnsi="Arial" w:cs="Arial"/>
          <w:sz w:val="24"/>
          <w:szCs w:val="24"/>
        </w:rPr>
      </w:pPr>
      <w:r>
        <w:rPr>
          <w:rFonts w:ascii="Arial" w:eastAsia="Arial" w:hAnsi="Arial" w:cs="Arial"/>
          <w:sz w:val="24"/>
          <w:szCs w:val="24"/>
        </w:rPr>
        <w:t>Asimismo, la línea judicial de la Sala Superior ha determinado que los partidos políticos se encuentran legitimados para denunciar que existe calumnia en su contra, dada la existencia de un vínculo indisoluble entre ellos.</w:t>
      </w:r>
      <w:r>
        <w:rPr>
          <w:rFonts w:ascii="Arial" w:eastAsia="Arial" w:hAnsi="Arial" w:cs="Arial"/>
          <w:sz w:val="24"/>
          <w:szCs w:val="24"/>
          <w:vertAlign w:val="superscript"/>
        </w:rPr>
        <w:footnoteReference w:id="8"/>
      </w:r>
      <w:r>
        <w:rPr>
          <w:rFonts w:ascii="Arial" w:eastAsia="Arial" w:hAnsi="Arial" w:cs="Arial"/>
          <w:sz w:val="24"/>
          <w:szCs w:val="24"/>
        </w:rPr>
        <w:t xml:space="preserve"> En tal sentido, señaló que aún y cuando los hechos motivo de denuncia por calumnia solo hagan alusión a sus candidaturas, en el contexto de una elección, tales circunstancias también afectan a los partidos políticos que las postulan.</w:t>
      </w:r>
      <w:r>
        <w:rPr>
          <w:rFonts w:ascii="Arial" w:eastAsia="Arial" w:hAnsi="Arial" w:cs="Arial"/>
          <w:sz w:val="24"/>
          <w:szCs w:val="24"/>
          <w:vertAlign w:val="superscript"/>
        </w:rPr>
        <w:footnoteReference w:id="9"/>
      </w:r>
    </w:p>
    <w:p w14:paraId="569F73D4" w14:textId="77777777" w:rsidR="00AF4AAD" w:rsidRDefault="00AF4AAD">
      <w:pPr>
        <w:pBdr>
          <w:top w:val="nil"/>
          <w:left w:val="nil"/>
          <w:bottom w:val="nil"/>
          <w:right w:val="nil"/>
          <w:between w:val="nil"/>
        </w:pBdr>
        <w:rPr>
          <w:color w:val="000000"/>
        </w:rPr>
      </w:pPr>
    </w:p>
    <w:p w14:paraId="3E2B61BC" w14:textId="77777777" w:rsidR="00AF4AAD" w:rsidRDefault="003D4366">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Bajo tal argumento la Sala Regional Especializada, en diversos asuntos les ha otorgado legitimación a los partidos políticos para denunciar la supuesta existencia de la infracción de calumnia en su perjuicio o de sus candidaturas. </w:t>
      </w:r>
      <w:r>
        <w:rPr>
          <w:rFonts w:ascii="Arial" w:eastAsia="Arial" w:hAnsi="Arial" w:cs="Arial"/>
          <w:sz w:val="24"/>
          <w:szCs w:val="24"/>
          <w:vertAlign w:val="superscript"/>
        </w:rPr>
        <w:footnoteReference w:id="10"/>
      </w:r>
    </w:p>
    <w:p w14:paraId="21513B58" w14:textId="77777777" w:rsidR="00AF4AAD" w:rsidRDefault="00AF4AAD">
      <w:pPr>
        <w:pBdr>
          <w:top w:val="nil"/>
          <w:left w:val="nil"/>
          <w:bottom w:val="nil"/>
          <w:right w:val="nil"/>
          <w:between w:val="nil"/>
        </w:pBdr>
        <w:rPr>
          <w:color w:val="000000"/>
        </w:rPr>
      </w:pPr>
    </w:p>
    <w:p w14:paraId="445E74D6" w14:textId="77777777" w:rsidR="00AF4AAD" w:rsidRDefault="003D4366">
      <w:pPr>
        <w:spacing w:line="360" w:lineRule="auto"/>
        <w:jc w:val="both"/>
        <w:rPr>
          <w:rFonts w:ascii="Arial" w:eastAsia="Arial" w:hAnsi="Arial" w:cs="Arial"/>
          <w:b/>
          <w:sz w:val="24"/>
          <w:szCs w:val="24"/>
        </w:rPr>
      </w:pPr>
      <w:r>
        <w:rPr>
          <w:rFonts w:ascii="Arial" w:eastAsia="Arial" w:hAnsi="Arial" w:cs="Arial"/>
          <w:b/>
          <w:sz w:val="24"/>
          <w:szCs w:val="24"/>
        </w:rPr>
        <w:t>2. Caso concreto</w:t>
      </w:r>
    </w:p>
    <w:p w14:paraId="76B515B9" w14:textId="77777777" w:rsidR="00AF4AAD" w:rsidRDefault="00AF4AAD">
      <w:pPr>
        <w:pBdr>
          <w:top w:val="nil"/>
          <w:left w:val="nil"/>
          <w:bottom w:val="nil"/>
          <w:right w:val="nil"/>
          <w:between w:val="nil"/>
        </w:pBdr>
        <w:rPr>
          <w:color w:val="000000"/>
        </w:rPr>
      </w:pPr>
    </w:p>
    <w:p w14:paraId="1C0F4E33" w14:textId="77777777" w:rsidR="00AF4AAD" w:rsidRDefault="003D4366">
      <w:pPr>
        <w:spacing w:line="360" w:lineRule="auto"/>
        <w:jc w:val="both"/>
        <w:rPr>
          <w:rFonts w:ascii="Arial" w:eastAsia="Arial" w:hAnsi="Arial" w:cs="Arial"/>
          <w:sz w:val="24"/>
          <w:szCs w:val="24"/>
        </w:rPr>
      </w:pPr>
      <w:r>
        <w:rPr>
          <w:rFonts w:ascii="Arial" w:eastAsia="Arial" w:hAnsi="Arial" w:cs="Arial"/>
          <w:sz w:val="24"/>
          <w:szCs w:val="24"/>
        </w:rPr>
        <w:t>En el caso, el PAN a través de su representante suplente, presentó una queja ante el Instituto Local en contra de la ciudadana Nora Ruvalcaba Gámez, en su calidad de candidata a la gubernatura del Estado por MORENA, así como del propio partido político, derivado de la difusión de propaganda que considera calumniosa en perjuicio de la candidata del PAN y de la coalición “Va por Aguascalientes” y de estos últimos.</w:t>
      </w:r>
    </w:p>
    <w:p w14:paraId="1237B4E6" w14:textId="77777777" w:rsidR="00AF4AAD" w:rsidRDefault="00AF4AAD">
      <w:pPr>
        <w:pBdr>
          <w:top w:val="nil"/>
          <w:left w:val="nil"/>
          <w:bottom w:val="nil"/>
          <w:right w:val="nil"/>
          <w:between w:val="nil"/>
        </w:pBdr>
        <w:rPr>
          <w:color w:val="000000"/>
        </w:rPr>
      </w:pPr>
    </w:p>
    <w:p w14:paraId="7E23A222" w14:textId="77777777" w:rsidR="00AF4AAD" w:rsidRDefault="003D4366">
      <w:pPr>
        <w:spacing w:line="360" w:lineRule="auto"/>
        <w:jc w:val="both"/>
        <w:rPr>
          <w:rFonts w:ascii="Arial" w:eastAsia="Arial" w:hAnsi="Arial" w:cs="Arial"/>
          <w:sz w:val="24"/>
          <w:szCs w:val="24"/>
        </w:rPr>
      </w:pPr>
      <w:r>
        <w:rPr>
          <w:rFonts w:ascii="Arial" w:eastAsia="Arial" w:hAnsi="Arial" w:cs="Arial"/>
          <w:sz w:val="24"/>
          <w:szCs w:val="24"/>
        </w:rPr>
        <w:t xml:space="preserve">El 15 de abril, el </w:t>
      </w:r>
      <w:proofErr w:type="gramStart"/>
      <w:r>
        <w:rPr>
          <w:rFonts w:ascii="Arial" w:eastAsia="Arial" w:hAnsi="Arial" w:cs="Arial"/>
          <w:sz w:val="24"/>
          <w:szCs w:val="24"/>
        </w:rPr>
        <w:t>Secretario Ejecutivo</w:t>
      </w:r>
      <w:proofErr w:type="gramEnd"/>
      <w:r>
        <w:rPr>
          <w:rFonts w:ascii="Arial" w:eastAsia="Arial" w:hAnsi="Arial" w:cs="Arial"/>
          <w:sz w:val="24"/>
          <w:szCs w:val="24"/>
        </w:rPr>
        <w:t xml:space="preserve"> del Instituto Local, previa prevención, ordenó el desechamiento de la queja al considerar que la denuncia no fue presentada a instancia de cada una de las partes afectadas tal y como lo dispone el artículo 269 del Código Electoral, sino que se presentó por quien ostenta la representación del partido político. </w:t>
      </w:r>
    </w:p>
    <w:p w14:paraId="380FF69A" w14:textId="77777777" w:rsidR="00AF4AAD" w:rsidRDefault="00AF4AAD">
      <w:pPr>
        <w:pBdr>
          <w:top w:val="nil"/>
          <w:left w:val="nil"/>
          <w:bottom w:val="nil"/>
          <w:right w:val="nil"/>
          <w:between w:val="nil"/>
        </w:pBdr>
        <w:rPr>
          <w:color w:val="000000"/>
        </w:rPr>
      </w:pPr>
    </w:p>
    <w:p w14:paraId="57743C59" w14:textId="77777777" w:rsidR="00AF4AAD" w:rsidRDefault="003D4366">
      <w:pPr>
        <w:spacing w:line="360" w:lineRule="auto"/>
        <w:jc w:val="both"/>
        <w:rPr>
          <w:rFonts w:ascii="Arial" w:eastAsia="Arial" w:hAnsi="Arial" w:cs="Arial"/>
          <w:sz w:val="24"/>
          <w:szCs w:val="24"/>
        </w:rPr>
      </w:pPr>
      <w:r>
        <w:rPr>
          <w:rFonts w:ascii="Arial" w:eastAsia="Arial" w:hAnsi="Arial" w:cs="Arial"/>
          <w:sz w:val="24"/>
          <w:szCs w:val="24"/>
        </w:rPr>
        <w:t>Inconforme con tal determinación, el representante del PAN presentó el presente recurso de revisión, al considerar que el Instituto Local interpretó de manera errónea tal dispositivo y, en consecuencia, desechó indebidamente su denuncia, argumentando que sí cuenta con las facultades legales de representación de las partes denunciantes y, por tanto, la denuncia sí fue presentada por parte afectada.</w:t>
      </w:r>
    </w:p>
    <w:p w14:paraId="213C0A56" w14:textId="77777777" w:rsidR="00AF4AAD" w:rsidRDefault="00AF4AAD">
      <w:pPr>
        <w:jc w:val="both"/>
        <w:rPr>
          <w:rFonts w:ascii="Arial" w:eastAsia="Arial" w:hAnsi="Arial" w:cs="Arial"/>
          <w:b/>
          <w:color w:val="000000"/>
          <w:sz w:val="24"/>
          <w:szCs w:val="24"/>
        </w:rPr>
      </w:pPr>
    </w:p>
    <w:p w14:paraId="17653D37" w14:textId="77777777" w:rsidR="00AF4AAD" w:rsidRDefault="003D4366">
      <w:pPr>
        <w:spacing w:line="360" w:lineRule="auto"/>
        <w:jc w:val="both"/>
        <w:rPr>
          <w:rFonts w:ascii="Arial" w:eastAsia="Arial" w:hAnsi="Arial" w:cs="Arial"/>
          <w:b/>
          <w:sz w:val="24"/>
          <w:szCs w:val="24"/>
        </w:rPr>
      </w:pPr>
      <w:r>
        <w:rPr>
          <w:rFonts w:ascii="Arial" w:eastAsia="Arial" w:hAnsi="Arial" w:cs="Arial"/>
          <w:b/>
          <w:sz w:val="24"/>
          <w:szCs w:val="24"/>
        </w:rPr>
        <w:t xml:space="preserve">3. Valoración </w:t>
      </w:r>
    </w:p>
    <w:p w14:paraId="21EA34C2" w14:textId="77777777" w:rsidR="00AF4AAD" w:rsidRDefault="00AF4AAD">
      <w:pPr>
        <w:pBdr>
          <w:top w:val="nil"/>
          <w:left w:val="nil"/>
          <w:bottom w:val="nil"/>
          <w:right w:val="nil"/>
          <w:between w:val="nil"/>
        </w:pBdr>
        <w:rPr>
          <w:color w:val="000000"/>
        </w:rPr>
      </w:pPr>
    </w:p>
    <w:p w14:paraId="30F6BEC9" w14:textId="77777777" w:rsidR="00AF4AAD" w:rsidRDefault="003D4366">
      <w:pPr>
        <w:spacing w:line="360" w:lineRule="auto"/>
        <w:jc w:val="both"/>
        <w:rPr>
          <w:rFonts w:ascii="Arial" w:eastAsia="Arial" w:hAnsi="Arial" w:cs="Arial"/>
          <w:sz w:val="24"/>
          <w:szCs w:val="24"/>
        </w:rPr>
      </w:pPr>
      <w:r>
        <w:rPr>
          <w:rFonts w:ascii="Arial" w:eastAsia="Arial" w:hAnsi="Arial" w:cs="Arial"/>
          <w:sz w:val="24"/>
          <w:szCs w:val="24"/>
        </w:rPr>
        <w:t xml:space="preserve">Este Tribunal Electoral considera que </w:t>
      </w:r>
      <w:r>
        <w:rPr>
          <w:rFonts w:ascii="Arial" w:eastAsia="Arial" w:hAnsi="Arial" w:cs="Arial"/>
          <w:b/>
          <w:sz w:val="24"/>
          <w:szCs w:val="24"/>
        </w:rPr>
        <w:t>debe revocarse</w:t>
      </w:r>
      <w:r>
        <w:rPr>
          <w:rFonts w:ascii="Arial" w:eastAsia="Arial" w:hAnsi="Arial" w:cs="Arial"/>
          <w:sz w:val="24"/>
          <w:szCs w:val="24"/>
        </w:rPr>
        <w:t xml:space="preserve"> el acuerdo emitido por la autoridad responsable, que desechó la denuncia presentada por el representante suplente del PAN ante el Consejo General del Instituto Local, en la cual, cuestionó la existencia de calumnia en contra de su instituto político y de su candidata postulada para en proceso electoral de gubernatura en Aguascalientes. Esto, al estimar que, contrario a lo que sostuvo la responsable, la Sala Superior ha establecido que </w:t>
      </w:r>
      <w:r>
        <w:rPr>
          <w:rFonts w:ascii="Arial" w:eastAsia="Arial" w:hAnsi="Arial" w:cs="Arial"/>
          <w:b/>
          <w:sz w:val="24"/>
          <w:szCs w:val="24"/>
        </w:rPr>
        <w:t>los partidos políticos sí cuentan con legitimación</w:t>
      </w:r>
      <w:r>
        <w:rPr>
          <w:rFonts w:ascii="Arial" w:eastAsia="Arial" w:hAnsi="Arial" w:cs="Arial"/>
          <w:sz w:val="24"/>
          <w:szCs w:val="24"/>
        </w:rPr>
        <w:t xml:space="preserve"> para denunciar calumnia contra el propio instituto y sus integrantes, tales como sus candidaturas</w:t>
      </w:r>
      <w:r>
        <w:rPr>
          <w:rFonts w:ascii="Arial" w:eastAsia="Arial" w:hAnsi="Arial" w:cs="Arial"/>
          <w:sz w:val="24"/>
          <w:szCs w:val="24"/>
          <w:vertAlign w:val="superscript"/>
        </w:rPr>
        <w:footnoteReference w:id="11"/>
      </w:r>
      <w:r>
        <w:rPr>
          <w:rFonts w:ascii="Arial" w:eastAsia="Arial" w:hAnsi="Arial" w:cs="Arial"/>
          <w:sz w:val="24"/>
          <w:szCs w:val="24"/>
        </w:rPr>
        <w:t xml:space="preserve">. </w:t>
      </w:r>
    </w:p>
    <w:p w14:paraId="0501E35D" w14:textId="77777777" w:rsidR="00AF4AAD" w:rsidRDefault="00AF4AAD">
      <w:pPr>
        <w:pBdr>
          <w:top w:val="nil"/>
          <w:left w:val="nil"/>
          <w:bottom w:val="nil"/>
          <w:right w:val="nil"/>
          <w:between w:val="nil"/>
        </w:pBdr>
        <w:rPr>
          <w:color w:val="000000"/>
        </w:rPr>
      </w:pPr>
    </w:p>
    <w:p w14:paraId="347C1F0F" w14:textId="77777777" w:rsidR="00AF4AAD" w:rsidRDefault="003D4366">
      <w:pPr>
        <w:spacing w:line="360" w:lineRule="auto"/>
        <w:jc w:val="both"/>
        <w:rPr>
          <w:rFonts w:ascii="Arial" w:eastAsia="Arial" w:hAnsi="Arial" w:cs="Arial"/>
          <w:sz w:val="24"/>
          <w:szCs w:val="24"/>
        </w:rPr>
      </w:pPr>
      <w:r>
        <w:rPr>
          <w:rFonts w:ascii="Arial" w:eastAsia="Arial" w:hAnsi="Arial" w:cs="Arial"/>
          <w:sz w:val="24"/>
          <w:szCs w:val="24"/>
        </w:rPr>
        <w:t xml:space="preserve">Lo anterior, con independencia de que en el marco normativo local se establezca como supuesto de procedencia que tratándose de denuncias por calumnia, únicamente puede ser presentada por la parte afectada, ya que, precisamente el criterio del referido órgano jurisdiccional tiene como propósito realizar una </w:t>
      </w:r>
      <w:r>
        <w:rPr>
          <w:rFonts w:ascii="Arial" w:eastAsia="Arial" w:hAnsi="Arial" w:cs="Arial"/>
          <w:b/>
          <w:sz w:val="24"/>
          <w:szCs w:val="24"/>
        </w:rPr>
        <w:t>extensión del criterio</w:t>
      </w:r>
      <w:r>
        <w:rPr>
          <w:rFonts w:ascii="Arial" w:eastAsia="Arial" w:hAnsi="Arial" w:cs="Arial"/>
          <w:sz w:val="24"/>
          <w:szCs w:val="24"/>
        </w:rPr>
        <w:t xml:space="preserve"> a fin de maximizar la posibilidad de que los institutos políticos, a través de sus representantes, denuncien la calumnia cometida en contra de sus integrantes a fin de procurar la salvaguarda sus intereses partidistas, políticos y electorales.  </w:t>
      </w:r>
    </w:p>
    <w:p w14:paraId="18C045BD" w14:textId="77777777" w:rsidR="00AF4AAD" w:rsidRDefault="00AF4AAD">
      <w:pPr>
        <w:pBdr>
          <w:top w:val="nil"/>
          <w:left w:val="nil"/>
          <w:bottom w:val="nil"/>
          <w:right w:val="nil"/>
          <w:between w:val="nil"/>
        </w:pBdr>
        <w:rPr>
          <w:color w:val="000000"/>
        </w:rPr>
      </w:pPr>
    </w:p>
    <w:p w14:paraId="23401B7C" w14:textId="77777777" w:rsidR="00AF4AAD" w:rsidRDefault="003D4366">
      <w:pPr>
        <w:spacing w:line="360" w:lineRule="auto"/>
        <w:jc w:val="both"/>
        <w:rPr>
          <w:rFonts w:ascii="Arial" w:eastAsia="Arial" w:hAnsi="Arial" w:cs="Arial"/>
          <w:sz w:val="24"/>
          <w:szCs w:val="24"/>
        </w:rPr>
      </w:pPr>
      <w:r>
        <w:rPr>
          <w:rFonts w:ascii="Arial" w:eastAsia="Arial" w:hAnsi="Arial" w:cs="Arial"/>
          <w:sz w:val="24"/>
          <w:szCs w:val="24"/>
        </w:rPr>
        <w:t xml:space="preserve">Como se estableció en el apartado del marco normativo, el Máximo Tribunal sostuvo que, </w:t>
      </w:r>
      <w:r>
        <w:rPr>
          <w:rFonts w:ascii="Arial" w:eastAsia="Arial" w:hAnsi="Arial" w:cs="Arial"/>
          <w:b/>
          <w:sz w:val="24"/>
          <w:szCs w:val="24"/>
        </w:rPr>
        <w:t>los partidos políticos sí pueden denunciar imputaciones de hechos falsos</w:t>
      </w:r>
      <w:r>
        <w:rPr>
          <w:rFonts w:ascii="Arial" w:eastAsia="Arial" w:hAnsi="Arial" w:cs="Arial"/>
          <w:sz w:val="24"/>
          <w:szCs w:val="24"/>
        </w:rPr>
        <w:t xml:space="preserve"> que demeriten su imagen ante la ciudadanía y los electores. Esto, porque debe evitarse que la propaganda calumniosa trascienda de manera indebida al electorado, propiciando un ejercicio libre e informado de su voto.</w:t>
      </w:r>
    </w:p>
    <w:p w14:paraId="6D6B23E2" w14:textId="77777777" w:rsidR="00AF4AAD" w:rsidRDefault="00AF4AAD">
      <w:pPr>
        <w:pBdr>
          <w:top w:val="nil"/>
          <w:left w:val="nil"/>
          <w:bottom w:val="nil"/>
          <w:right w:val="nil"/>
          <w:between w:val="nil"/>
        </w:pBdr>
        <w:rPr>
          <w:color w:val="000000"/>
        </w:rPr>
      </w:pPr>
    </w:p>
    <w:p w14:paraId="424C8C03" w14:textId="77777777" w:rsidR="00AF4AAD" w:rsidRDefault="003D4366">
      <w:pPr>
        <w:spacing w:line="360" w:lineRule="auto"/>
        <w:jc w:val="both"/>
        <w:rPr>
          <w:rFonts w:ascii="Arial" w:eastAsia="Arial" w:hAnsi="Arial" w:cs="Arial"/>
          <w:sz w:val="24"/>
          <w:szCs w:val="24"/>
        </w:rPr>
      </w:pPr>
      <w:r>
        <w:rPr>
          <w:rFonts w:ascii="Arial" w:eastAsia="Arial" w:hAnsi="Arial" w:cs="Arial"/>
          <w:sz w:val="24"/>
          <w:szCs w:val="24"/>
        </w:rPr>
        <w:t>Bajo tal premisa, el hecho de que el representante suplente del PAN estime que se difundió propaganda calumniosa en contra de sus representados -PAN, coalición “Va por Aguascalientes” y la candidata que ambos postularon- implica que cuente con legitimación para denunciar la difusión de la propaganda que considere calumniosa, en medida que se involucra directamente a los sujetos denunciantes.</w:t>
      </w:r>
    </w:p>
    <w:p w14:paraId="0DA4331F" w14:textId="77777777" w:rsidR="00AF4AAD" w:rsidRDefault="00AF4AAD">
      <w:pPr>
        <w:pBdr>
          <w:top w:val="nil"/>
          <w:left w:val="nil"/>
          <w:bottom w:val="nil"/>
          <w:right w:val="nil"/>
          <w:between w:val="nil"/>
        </w:pBdr>
        <w:rPr>
          <w:color w:val="000000"/>
        </w:rPr>
      </w:pPr>
    </w:p>
    <w:p w14:paraId="6F49F28B" w14:textId="77777777" w:rsidR="00AF4AAD" w:rsidRDefault="003D4366">
      <w:pPr>
        <w:spacing w:line="360" w:lineRule="auto"/>
        <w:jc w:val="both"/>
        <w:rPr>
          <w:rFonts w:ascii="Arial" w:eastAsia="Arial" w:hAnsi="Arial" w:cs="Arial"/>
          <w:sz w:val="24"/>
          <w:szCs w:val="24"/>
        </w:rPr>
      </w:pPr>
      <w:r>
        <w:rPr>
          <w:rFonts w:ascii="Arial" w:eastAsia="Arial" w:hAnsi="Arial" w:cs="Arial"/>
          <w:sz w:val="24"/>
          <w:szCs w:val="24"/>
        </w:rPr>
        <w:t>Al respecto, debe tenerse presente que esta postura no es contraria a la línea jurisprudencial emitida por la Sala Superior, que establece, básicamente, que cualquier persona puede presentar denuncias para iniciar el procedimiento administrativo sancionador salvo que se trate de la infracción de calumnia, pues de ser así, únicamente la parte agraviada se encuentra legitimada para denunciarla; al estimar que la naturaleza de tales procedimientos es de orden público</w:t>
      </w:r>
      <w:r>
        <w:rPr>
          <w:rFonts w:ascii="Arial" w:eastAsia="Arial" w:hAnsi="Arial" w:cs="Arial"/>
          <w:sz w:val="24"/>
          <w:szCs w:val="24"/>
          <w:vertAlign w:val="superscript"/>
        </w:rPr>
        <w:footnoteReference w:id="12"/>
      </w:r>
      <w:r>
        <w:rPr>
          <w:rFonts w:ascii="Arial" w:eastAsia="Arial" w:hAnsi="Arial" w:cs="Arial"/>
          <w:sz w:val="24"/>
          <w:szCs w:val="24"/>
        </w:rPr>
        <w:t xml:space="preserve">. </w:t>
      </w:r>
    </w:p>
    <w:p w14:paraId="02EAA6E0" w14:textId="77777777" w:rsidR="00AF4AAD" w:rsidRDefault="00AF4AAD">
      <w:pPr>
        <w:jc w:val="both"/>
        <w:rPr>
          <w:rFonts w:ascii="Arial" w:eastAsia="Arial" w:hAnsi="Arial" w:cs="Arial"/>
          <w:sz w:val="24"/>
          <w:szCs w:val="24"/>
        </w:rPr>
      </w:pPr>
    </w:p>
    <w:p w14:paraId="7F1093E5" w14:textId="77777777" w:rsidR="00AF4AAD" w:rsidRDefault="003D4366">
      <w:pPr>
        <w:spacing w:line="360" w:lineRule="auto"/>
        <w:jc w:val="both"/>
        <w:rPr>
          <w:rFonts w:ascii="Arial" w:eastAsia="Arial" w:hAnsi="Arial" w:cs="Arial"/>
          <w:sz w:val="24"/>
          <w:szCs w:val="24"/>
        </w:rPr>
      </w:pPr>
      <w:r>
        <w:rPr>
          <w:rFonts w:ascii="Arial" w:eastAsia="Arial" w:hAnsi="Arial" w:cs="Arial"/>
          <w:sz w:val="24"/>
          <w:szCs w:val="24"/>
        </w:rPr>
        <w:t xml:space="preserve">Esto se debe a que en el presente caso existe una cuestión distinta, consistente en que quien cuestiona la calumnia es el partido político por conducto de su representante ante la autoridad administrativa local, situación que es suficiente para que, en primer lugar, se le reconozca legitimación para denunciar dicha infracción y, a su vez, -en atención el vínculo estrecho entre sus opciones políticas- la infracción tenga una ampliación para proteger los intereses personales de sus integrantes, ya que tal situación impacta directamente al instituto político involucrado. </w:t>
      </w:r>
    </w:p>
    <w:p w14:paraId="3A06C50F" w14:textId="77777777" w:rsidR="00AF4AAD" w:rsidRDefault="00AF4AAD">
      <w:pPr>
        <w:jc w:val="both"/>
        <w:rPr>
          <w:rFonts w:ascii="Arial" w:eastAsia="Arial" w:hAnsi="Arial" w:cs="Arial"/>
          <w:sz w:val="24"/>
          <w:szCs w:val="24"/>
        </w:rPr>
      </w:pPr>
    </w:p>
    <w:p w14:paraId="30C2AD96" w14:textId="77777777" w:rsidR="00AF4AAD" w:rsidRDefault="003D4366">
      <w:pPr>
        <w:spacing w:line="360" w:lineRule="auto"/>
        <w:jc w:val="both"/>
        <w:rPr>
          <w:rFonts w:ascii="Arial" w:eastAsia="Arial" w:hAnsi="Arial" w:cs="Arial"/>
          <w:sz w:val="24"/>
          <w:szCs w:val="24"/>
        </w:rPr>
      </w:pPr>
      <w:r>
        <w:rPr>
          <w:rFonts w:ascii="Arial" w:eastAsia="Arial" w:hAnsi="Arial" w:cs="Arial"/>
          <w:sz w:val="24"/>
          <w:szCs w:val="24"/>
        </w:rPr>
        <w:t xml:space="preserve">De ahí que, como se adelantó, </w:t>
      </w:r>
      <w:r>
        <w:rPr>
          <w:rFonts w:ascii="Arial" w:eastAsia="Arial" w:hAnsi="Arial" w:cs="Arial"/>
          <w:b/>
          <w:sz w:val="24"/>
          <w:szCs w:val="24"/>
        </w:rPr>
        <w:t>debe revocarse</w:t>
      </w:r>
      <w:r>
        <w:rPr>
          <w:rFonts w:ascii="Arial" w:eastAsia="Arial" w:hAnsi="Arial" w:cs="Arial"/>
          <w:sz w:val="24"/>
          <w:szCs w:val="24"/>
        </w:rPr>
        <w:t xml:space="preserve"> el acuerdo reclamado para que la autoridad responsable le permita a la parte quejosa denunciar la calumnia tanto en perjuicio del propio instituto político como de la candidatura que la postula el mismo, sin que resulte relevante que tal candidatura fue postulada por la colación “Va por Aguascalientes”, pues lo jurídicamente relevante es que existió una denuncia por una parte legitimada para ello, como lo es el representante. </w:t>
      </w:r>
    </w:p>
    <w:p w14:paraId="378A24DD" w14:textId="77777777" w:rsidR="00AF4AAD" w:rsidRDefault="00AF4AAD">
      <w:pPr>
        <w:pBdr>
          <w:top w:val="nil"/>
          <w:left w:val="nil"/>
          <w:bottom w:val="nil"/>
          <w:right w:val="nil"/>
          <w:between w:val="nil"/>
        </w:pBdr>
        <w:rPr>
          <w:color w:val="000000"/>
          <w:sz w:val="14"/>
          <w:szCs w:val="14"/>
        </w:rPr>
      </w:pPr>
    </w:p>
    <w:p w14:paraId="49B5162A" w14:textId="77777777" w:rsidR="00AF4AAD" w:rsidRDefault="003D4366">
      <w:pPr>
        <w:spacing w:line="360" w:lineRule="auto"/>
        <w:jc w:val="center"/>
        <w:rPr>
          <w:rFonts w:ascii="Arial" w:eastAsia="Arial" w:hAnsi="Arial" w:cs="Arial"/>
          <w:b/>
          <w:sz w:val="24"/>
          <w:szCs w:val="24"/>
        </w:rPr>
      </w:pPr>
      <w:r>
        <w:rPr>
          <w:rFonts w:ascii="Arial" w:eastAsia="Arial" w:hAnsi="Arial" w:cs="Arial"/>
          <w:b/>
          <w:sz w:val="24"/>
          <w:szCs w:val="24"/>
        </w:rPr>
        <w:lastRenderedPageBreak/>
        <w:t>V. Efectos:</w:t>
      </w:r>
    </w:p>
    <w:p w14:paraId="432027F8" w14:textId="77777777" w:rsidR="00AF4AAD" w:rsidRDefault="00AF4AAD">
      <w:pPr>
        <w:pBdr>
          <w:top w:val="nil"/>
          <w:left w:val="nil"/>
          <w:bottom w:val="nil"/>
          <w:right w:val="nil"/>
          <w:between w:val="nil"/>
        </w:pBdr>
        <w:rPr>
          <w:color w:val="000000"/>
          <w:sz w:val="12"/>
          <w:szCs w:val="12"/>
        </w:rPr>
      </w:pPr>
    </w:p>
    <w:p w14:paraId="43AA1F59" w14:textId="77777777" w:rsidR="00AF4AAD" w:rsidRDefault="003D4366">
      <w:pPr>
        <w:spacing w:line="360" w:lineRule="auto"/>
        <w:jc w:val="both"/>
        <w:rPr>
          <w:rFonts w:ascii="Arial" w:eastAsia="Arial" w:hAnsi="Arial" w:cs="Arial"/>
          <w:sz w:val="24"/>
          <w:szCs w:val="24"/>
        </w:rPr>
      </w:pPr>
      <w:r>
        <w:rPr>
          <w:rFonts w:ascii="Arial" w:eastAsia="Arial" w:hAnsi="Arial" w:cs="Arial"/>
          <w:sz w:val="24"/>
          <w:szCs w:val="24"/>
        </w:rPr>
        <w:t xml:space="preserve">Por las consideraciones expuestas, lo procedente es: </w:t>
      </w:r>
    </w:p>
    <w:p w14:paraId="70817365" w14:textId="77777777" w:rsidR="00AF4AAD" w:rsidRDefault="00AF4AAD">
      <w:pPr>
        <w:pBdr>
          <w:top w:val="nil"/>
          <w:left w:val="nil"/>
          <w:bottom w:val="nil"/>
          <w:right w:val="nil"/>
          <w:between w:val="nil"/>
        </w:pBdr>
        <w:rPr>
          <w:color w:val="000000"/>
          <w:sz w:val="12"/>
          <w:szCs w:val="12"/>
        </w:rPr>
      </w:pPr>
    </w:p>
    <w:p w14:paraId="3134D045" w14:textId="56CFBF6E" w:rsidR="00AF4AAD" w:rsidRDefault="003D4366">
      <w:pPr>
        <w:spacing w:line="360" w:lineRule="auto"/>
        <w:jc w:val="both"/>
        <w:rPr>
          <w:rFonts w:ascii="Arial" w:eastAsia="Arial" w:hAnsi="Arial" w:cs="Arial"/>
          <w:sz w:val="24"/>
          <w:szCs w:val="24"/>
        </w:rPr>
      </w:pPr>
      <w:r>
        <w:rPr>
          <w:rFonts w:ascii="Arial" w:eastAsia="Arial" w:hAnsi="Arial" w:cs="Arial"/>
          <w:b/>
          <w:sz w:val="24"/>
          <w:szCs w:val="24"/>
        </w:rPr>
        <w:t>1.</w:t>
      </w:r>
      <w:r>
        <w:rPr>
          <w:rFonts w:ascii="Arial" w:eastAsia="Arial" w:hAnsi="Arial" w:cs="Arial"/>
          <w:sz w:val="24"/>
          <w:szCs w:val="24"/>
        </w:rPr>
        <w:t xml:space="preserve"> </w:t>
      </w:r>
      <w:r>
        <w:rPr>
          <w:rFonts w:ascii="Arial" w:eastAsia="Arial" w:hAnsi="Arial" w:cs="Arial"/>
          <w:b/>
          <w:sz w:val="24"/>
          <w:szCs w:val="24"/>
        </w:rPr>
        <w:t xml:space="preserve">Ordenar </w:t>
      </w:r>
      <w:r>
        <w:rPr>
          <w:rFonts w:ascii="Arial" w:eastAsia="Arial" w:hAnsi="Arial" w:cs="Arial"/>
          <w:sz w:val="24"/>
          <w:szCs w:val="24"/>
        </w:rPr>
        <w:t xml:space="preserve">al </w:t>
      </w:r>
      <w:proofErr w:type="gramStart"/>
      <w:r>
        <w:rPr>
          <w:rFonts w:ascii="Arial" w:eastAsia="Arial" w:hAnsi="Arial" w:cs="Arial"/>
          <w:sz w:val="24"/>
          <w:szCs w:val="24"/>
        </w:rPr>
        <w:t>Secretario Ejecutivo</w:t>
      </w:r>
      <w:proofErr w:type="gramEnd"/>
      <w:r>
        <w:rPr>
          <w:rFonts w:ascii="Arial" w:eastAsia="Arial" w:hAnsi="Arial" w:cs="Arial"/>
          <w:sz w:val="24"/>
          <w:szCs w:val="24"/>
        </w:rPr>
        <w:t xml:space="preserve"> del Instituto Local que, de no advertir otra causal de improcedencia y,</w:t>
      </w:r>
      <w:r w:rsidR="006A7B95">
        <w:rPr>
          <w:rFonts w:ascii="Arial" w:eastAsia="Arial" w:hAnsi="Arial" w:cs="Arial"/>
          <w:sz w:val="24"/>
          <w:szCs w:val="24"/>
        </w:rPr>
        <w:t xml:space="preserve"> en plenitud de jurisdicción,</w:t>
      </w:r>
      <w:r>
        <w:rPr>
          <w:rFonts w:ascii="Arial" w:eastAsia="Arial" w:hAnsi="Arial" w:cs="Arial"/>
          <w:sz w:val="24"/>
          <w:szCs w:val="24"/>
        </w:rPr>
        <w:t xml:space="preserve"> admita y dé trámite a la denuncia (IEE/PES/025/2022) en cuestión</w:t>
      </w:r>
      <w:r w:rsidR="00743613">
        <w:rPr>
          <w:rFonts w:ascii="Arial" w:eastAsia="Arial" w:hAnsi="Arial" w:cs="Arial"/>
          <w:sz w:val="24"/>
          <w:szCs w:val="24"/>
        </w:rPr>
        <w:t xml:space="preserve">, atendiendo al principio de </w:t>
      </w:r>
      <w:r w:rsidR="00FD07E8">
        <w:rPr>
          <w:rFonts w:ascii="Arial" w:eastAsia="Arial" w:hAnsi="Arial" w:cs="Arial"/>
          <w:sz w:val="24"/>
          <w:szCs w:val="24"/>
        </w:rPr>
        <w:t>inmediatez</w:t>
      </w:r>
      <w:r>
        <w:rPr>
          <w:rFonts w:ascii="Arial" w:eastAsia="Arial" w:hAnsi="Arial" w:cs="Arial"/>
          <w:sz w:val="24"/>
          <w:szCs w:val="24"/>
        </w:rPr>
        <w:t>.</w:t>
      </w:r>
      <w:r w:rsidR="006A7B95">
        <w:rPr>
          <w:rFonts w:ascii="Arial" w:eastAsia="Arial" w:hAnsi="Arial" w:cs="Arial"/>
          <w:sz w:val="24"/>
          <w:szCs w:val="24"/>
        </w:rPr>
        <w:t xml:space="preserve"> Ello,</w:t>
      </w:r>
      <w:r w:rsidR="006A7B95" w:rsidRPr="006A7B95">
        <w:rPr>
          <w:rFonts w:ascii="Arial" w:eastAsia="Arial" w:hAnsi="Arial" w:cs="Arial"/>
          <w:sz w:val="24"/>
          <w:szCs w:val="24"/>
        </w:rPr>
        <w:t xml:space="preserve"> </w:t>
      </w:r>
      <w:r w:rsidR="006A7B95">
        <w:rPr>
          <w:rFonts w:ascii="Arial" w:eastAsia="Arial" w:hAnsi="Arial" w:cs="Arial"/>
          <w:sz w:val="24"/>
          <w:szCs w:val="24"/>
        </w:rPr>
        <w:t>sin que esta autoridad jurisdiccional prejuzgue sobre el fondo del asunto.</w:t>
      </w:r>
    </w:p>
    <w:p w14:paraId="5226B42B" w14:textId="77777777" w:rsidR="00AF4AAD" w:rsidRDefault="00AF4AAD">
      <w:pPr>
        <w:jc w:val="both"/>
        <w:rPr>
          <w:rFonts w:ascii="Arial" w:eastAsia="Arial" w:hAnsi="Arial" w:cs="Arial"/>
          <w:sz w:val="24"/>
          <w:szCs w:val="24"/>
        </w:rPr>
      </w:pPr>
    </w:p>
    <w:p w14:paraId="31DAABF1" w14:textId="5933C986" w:rsidR="00AF4AAD" w:rsidRDefault="003D4366">
      <w:pPr>
        <w:spacing w:line="360" w:lineRule="auto"/>
        <w:jc w:val="both"/>
        <w:rPr>
          <w:rFonts w:ascii="Arial" w:eastAsia="Arial" w:hAnsi="Arial" w:cs="Arial"/>
          <w:sz w:val="24"/>
          <w:szCs w:val="24"/>
        </w:rPr>
      </w:pPr>
      <w:r>
        <w:rPr>
          <w:rFonts w:ascii="Arial" w:eastAsia="Arial" w:hAnsi="Arial" w:cs="Arial"/>
          <w:sz w:val="24"/>
          <w:szCs w:val="24"/>
        </w:rPr>
        <w:t xml:space="preserve">Una vez realizado lo anterior, dentro de las 24 horas siguientes </w:t>
      </w:r>
      <w:r w:rsidR="00743613">
        <w:rPr>
          <w:rFonts w:ascii="Arial" w:eastAsia="Arial" w:hAnsi="Arial" w:cs="Arial"/>
          <w:sz w:val="24"/>
          <w:szCs w:val="24"/>
        </w:rPr>
        <w:t xml:space="preserve">se </w:t>
      </w:r>
      <w:r>
        <w:rPr>
          <w:rFonts w:ascii="Arial" w:eastAsia="Arial" w:hAnsi="Arial" w:cs="Arial"/>
          <w:sz w:val="24"/>
          <w:szCs w:val="24"/>
        </w:rPr>
        <w:t xml:space="preserve">deberá dar aviso a este Tribunal Electoral del cumplimiento generado. En un primer momento, a través de la cuenta de correo: </w:t>
      </w:r>
      <w:r>
        <w:rPr>
          <w:rFonts w:ascii="Arial" w:eastAsia="Arial" w:hAnsi="Arial" w:cs="Arial"/>
          <w:i/>
          <w:color w:val="1155CC"/>
          <w:sz w:val="24"/>
          <w:szCs w:val="24"/>
        </w:rPr>
        <w:t>cumplimientos@teeags.mx</w:t>
      </w:r>
      <w:r>
        <w:rPr>
          <w:rFonts w:ascii="Arial" w:eastAsia="Arial" w:hAnsi="Arial" w:cs="Arial"/>
          <w:sz w:val="24"/>
          <w:szCs w:val="24"/>
        </w:rPr>
        <w:t>; y, posteriormente, deberán enviar la documentación original a las instalaciones de este Tribunal Electoral.</w:t>
      </w:r>
    </w:p>
    <w:p w14:paraId="2D02F99E" w14:textId="77777777" w:rsidR="00AF4AAD" w:rsidRDefault="00AF4AAD">
      <w:pPr>
        <w:pBdr>
          <w:top w:val="nil"/>
          <w:left w:val="nil"/>
          <w:bottom w:val="nil"/>
          <w:right w:val="nil"/>
          <w:between w:val="nil"/>
        </w:pBdr>
        <w:rPr>
          <w:color w:val="000000"/>
        </w:rPr>
      </w:pPr>
    </w:p>
    <w:p w14:paraId="662EFDA9" w14:textId="77777777" w:rsidR="00AF4AAD" w:rsidRDefault="003D4366">
      <w:pPr>
        <w:pStyle w:val="Ttulo2"/>
        <w:spacing w:before="0" w:line="360" w:lineRule="auto"/>
        <w:jc w:val="center"/>
        <w:rPr>
          <w:rFonts w:ascii="Arial" w:eastAsia="Arial" w:hAnsi="Arial" w:cs="Arial"/>
          <w:color w:val="000000"/>
          <w:sz w:val="24"/>
          <w:szCs w:val="24"/>
        </w:rPr>
      </w:pPr>
      <w:bookmarkStart w:id="10" w:name="_heading=h.3rdcrjn" w:colFirst="0" w:colLast="0"/>
      <w:bookmarkEnd w:id="10"/>
      <w:r>
        <w:rPr>
          <w:rFonts w:ascii="Arial" w:eastAsia="Arial" w:hAnsi="Arial" w:cs="Arial"/>
          <w:color w:val="000000"/>
          <w:sz w:val="24"/>
          <w:szCs w:val="24"/>
        </w:rPr>
        <w:t>VI. Se resuelve:</w:t>
      </w:r>
    </w:p>
    <w:p w14:paraId="33C61F60" w14:textId="77777777" w:rsidR="00AF4AAD" w:rsidRDefault="00AF4AAD"/>
    <w:p w14:paraId="52AE7DB1" w14:textId="77777777" w:rsidR="00AF4AAD" w:rsidRDefault="003D4366">
      <w:pPr>
        <w:spacing w:line="360" w:lineRule="auto"/>
        <w:jc w:val="both"/>
        <w:rPr>
          <w:rFonts w:ascii="Arial" w:eastAsia="Arial" w:hAnsi="Arial" w:cs="Arial"/>
          <w:sz w:val="24"/>
          <w:szCs w:val="24"/>
        </w:rPr>
      </w:pPr>
      <w:r>
        <w:rPr>
          <w:rFonts w:ascii="Arial" w:eastAsia="Arial" w:hAnsi="Arial" w:cs="Arial"/>
          <w:b/>
          <w:sz w:val="24"/>
          <w:szCs w:val="24"/>
        </w:rPr>
        <w:t xml:space="preserve">Primero. </w:t>
      </w:r>
      <w:r>
        <w:rPr>
          <w:rFonts w:ascii="Arial" w:eastAsia="Arial" w:hAnsi="Arial" w:cs="Arial"/>
          <w:sz w:val="24"/>
          <w:szCs w:val="24"/>
        </w:rPr>
        <w:t>Se</w:t>
      </w:r>
      <w:r>
        <w:rPr>
          <w:rFonts w:ascii="Arial" w:eastAsia="Arial" w:hAnsi="Arial" w:cs="Arial"/>
          <w:b/>
          <w:sz w:val="24"/>
          <w:szCs w:val="24"/>
        </w:rPr>
        <w:t xml:space="preserve"> revoca </w:t>
      </w:r>
      <w:r>
        <w:rPr>
          <w:rFonts w:ascii="Arial" w:eastAsia="Arial" w:hAnsi="Arial" w:cs="Arial"/>
          <w:sz w:val="24"/>
          <w:szCs w:val="24"/>
        </w:rPr>
        <w:t>el acuerdo de desechamiento de fecha quince de abril, dictado dentro del Procedimiento Especial Sancionador con clave IEE/PES/025/2022.</w:t>
      </w:r>
    </w:p>
    <w:p w14:paraId="0B18C4A6" w14:textId="77777777" w:rsidR="00AF4AAD" w:rsidRDefault="003D4366">
      <w:pPr>
        <w:spacing w:before="240" w:line="360" w:lineRule="auto"/>
        <w:jc w:val="both"/>
        <w:rPr>
          <w:rFonts w:ascii="Arial" w:eastAsia="Arial" w:hAnsi="Arial" w:cs="Arial"/>
          <w:sz w:val="24"/>
          <w:szCs w:val="24"/>
        </w:rPr>
      </w:pPr>
      <w:r>
        <w:rPr>
          <w:rFonts w:ascii="Arial" w:eastAsia="Arial" w:hAnsi="Arial" w:cs="Arial"/>
          <w:b/>
          <w:sz w:val="24"/>
          <w:szCs w:val="24"/>
        </w:rPr>
        <w:t xml:space="preserve">Segundo. </w:t>
      </w:r>
      <w:r>
        <w:rPr>
          <w:rFonts w:ascii="Arial" w:eastAsia="Arial" w:hAnsi="Arial" w:cs="Arial"/>
          <w:sz w:val="24"/>
          <w:szCs w:val="24"/>
        </w:rPr>
        <w:t xml:space="preserve">Se </w:t>
      </w:r>
      <w:r>
        <w:rPr>
          <w:rFonts w:ascii="Arial" w:eastAsia="Arial" w:hAnsi="Arial" w:cs="Arial"/>
          <w:b/>
          <w:sz w:val="24"/>
          <w:szCs w:val="24"/>
        </w:rPr>
        <w:t xml:space="preserve">ordena </w:t>
      </w:r>
      <w:r>
        <w:rPr>
          <w:rFonts w:ascii="Arial" w:eastAsia="Arial" w:hAnsi="Arial" w:cs="Arial"/>
          <w:sz w:val="24"/>
          <w:szCs w:val="24"/>
        </w:rPr>
        <w:t xml:space="preserve">al </w:t>
      </w:r>
      <w:proofErr w:type="gramStart"/>
      <w:r>
        <w:rPr>
          <w:rFonts w:ascii="Arial" w:eastAsia="Arial" w:hAnsi="Arial" w:cs="Arial"/>
          <w:sz w:val="24"/>
          <w:szCs w:val="24"/>
        </w:rPr>
        <w:t>Secretario Ejecutivo</w:t>
      </w:r>
      <w:proofErr w:type="gramEnd"/>
      <w:r>
        <w:rPr>
          <w:rFonts w:ascii="Arial" w:eastAsia="Arial" w:hAnsi="Arial" w:cs="Arial"/>
          <w:sz w:val="24"/>
          <w:szCs w:val="24"/>
        </w:rPr>
        <w:t xml:space="preserve"> del Instituto Local para que proceda conforme a lo ordenado en el apartado de efectos de la presente sentencia. </w:t>
      </w:r>
    </w:p>
    <w:p w14:paraId="503CC382" w14:textId="77777777" w:rsidR="00AF4AAD" w:rsidRDefault="00AF4AAD">
      <w:pPr>
        <w:pBdr>
          <w:top w:val="nil"/>
          <w:left w:val="nil"/>
          <w:bottom w:val="nil"/>
          <w:right w:val="nil"/>
          <w:between w:val="nil"/>
        </w:pBdr>
        <w:rPr>
          <w:color w:val="000000"/>
        </w:rPr>
      </w:pPr>
    </w:p>
    <w:p w14:paraId="46253CB3" w14:textId="77777777" w:rsidR="00AF4AAD" w:rsidRDefault="003D4366">
      <w:pPr>
        <w:tabs>
          <w:tab w:val="left" w:pos="0"/>
          <w:tab w:val="left" w:pos="426"/>
        </w:tabs>
        <w:spacing w:line="360" w:lineRule="auto"/>
        <w:jc w:val="both"/>
        <w:rPr>
          <w:rFonts w:ascii="Arial" w:eastAsia="Arial" w:hAnsi="Arial" w:cs="Arial"/>
          <w:color w:val="000000"/>
          <w:sz w:val="24"/>
          <w:szCs w:val="24"/>
        </w:rPr>
      </w:pPr>
      <w:r>
        <w:rPr>
          <w:rFonts w:ascii="Arial" w:eastAsia="Arial" w:hAnsi="Arial" w:cs="Arial"/>
          <w:b/>
          <w:color w:val="000000"/>
          <w:sz w:val="24"/>
          <w:szCs w:val="24"/>
        </w:rPr>
        <w:t>Notifíquese</w:t>
      </w:r>
      <w:r>
        <w:rPr>
          <w:rFonts w:ascii="Arial" w:eastAsia="Arial" w:hAnsi="Arial" w:cs="Arial"/>
          <w:color w:val="000000"/>
          <w:sz w:val="24"/>
          <w:szCs w:val="24"/>
        </w:rPr>
        <w:t xml:space="preserve"> conforme a Derecho. </w:t>
      </w:r>
    </w:p>
    <w:p w14:paraId="1D967D24" w14:textId="77777777" w:rsidR="00AF4AAD" w:rsidRDefault="00AF4AAD">
      <w:pPr>
        <w:pBdr>
          <w:top w:val="nil"/>
          <w:left w:val="nil"/>
          <w:bottom w:val="nil"/>
          <w:right w:val="nil"/>
          <w:between w:val="nil"/>
        </w:pBdr>
        <w:rPr>
          <w:color w:val="000000"/>
        </w:rPr>
      </w:pPr>
    </w:p>
    <w:p w14:paraId="314B86F3" w14:textId="77777777" w:rsidR="00AF4AAD" w:rsidRDefault="003D4366">
      <w:pPr>
        <w:spacing w:line="360" w:lineRule="auto"/>
        <w:jc w:val="both"/>
        <w:rPr>
          <w:rFonts w:ascii="Arial" w:eastAsia="Arial" w:hAnsi="Arial" w:cs="Arial"/>
          <w:sz w:val="24"/>
          <w:szCs w:val="24"/>
        </w:rPr>
      </w:pPr>
      <w:r>
        <w:rPr>
          <w:rFonts w:ascii="Arial" w:eastAsia="Arial" w:hAnsi="Arial" w:cs="Arial"/>
          <w:sz w:val="24"/>
          <w:szCs w:val="24"/>
        </w:rPr>
        <w:t>Así lo resolvieron, por</w:t>
      </w:r>
      <w:r>
        <w:rPr>
          <w:rFonts w:ascii="Arial" w:eastAsia="Arial" w:hAnsi="Arial" w:cs="Arial"/>
          <w:b/>
          <w:sz w:val="24"/>
          <w:szCs w:val="24"/>
        </w:rPr>
        <w:t xml:space="preserve"> </w:t>
      </w:r>
      <w:r>
        <w:rPr>
          <w:rFonts w:ascii="Arial" w:eastAsia="Arial" w:hAnsi="Arial" w:cs="Arial"/>
          <w:sz w:val="24"/>
          <w:szCs w:val="24"/>
        </w:rPr>
        <w:t xml:space="preserve">unanimidad de votos, las Magistradas y el Magistrado del Tribunal Electoral del Estado de Aguascalientes, ante el </w:t>
      </w:r>
      <w:proofErr w:type="gramStart"/>
      <w:r>
        <w:rPr>
          <w:rFonts w:ascii="Arial" w:eastAsia="Arial" w:hAnsi="Arial" w:cs="Arial"/>
          <w:sz w:val="24"/>
          <w:szCs w:val="24"/>
        </w:rPr>
        <w:t>Secretario General</w:t>
      </w:r>
      <w:proofErr w:type="gramEnd"/>
      <w:r>
        <w:rPr>
          <w:rFonts w:ascii="Arial" w:eastAsia="Arial" w:hAnsi="Arial" w:cs="Arial"/>
          <w:sz w:val="24"/>
          <w:szCs w:val="24"/>
        </w:rPr>
        <w:t xml:space="preserve"> de Acuerdos que autoriza y da fe.</w:t>
      </w:r>
    </w:p>
    <w:p w14:paraId="3984ECF2" w14:textId="77777777" w:rsidR="00AF4AAD" w:rsidRDefault="00AF4AAD">
      <w:pPr>
        <w:spacing w:line="360" w:lineRule="auto"/>
        <w:jc w:val="both"/>
        <w:rPr>
          <w:rFonts w:ascii="Arial" w:eastAsia="Arial" w:hAnsi="Arial" w:cs="Arial"/>
          <w:sz w:val="24"/>
          <w:szCs w:val="24"/>
        </w:rPr>
      </w:pPr>
    </w:p>
    <w:tbl>
      <w:tblPr>
        <w:tblStyle w:val="a0"/>
        <w:tblW w:w="8175" w:type="dxa"/>
        <w:jc w:val="center"/>
        <w:tblInd w:w="0" w:type="dxa"/>
        <w:tblLayout w:type="fixed"/>
        <w:tblLook w:val="0400" w:firstRow="0" w:lastRow="0" w:firstColumn="0" w:lastColumn="0" w:noHBand="0" w:noVBand="1"/>
      </w:tblPr>
      <w:tblGrid>
        <w:gridCol w:w="4063"/>
        <w:gridCol w:w="4112"/>
      </w:tblGrid>
      <w:tr w:rsidR="00AF4AAD" w14:paraId="53854297" w14:textId="77777777">
        <w:trPr>
          <w:trHeight w:val="1093"/>
          <w:jc w:val="center"/>
        </w:trPr>
        <w:tc>
          <w:tcPr>
            <w:tcW w:w="8175" w:type="dxa"/>
            <w:gridSpan w:val="2"/>
          </w:tcPr>
          <w:p w14:paraId="3B82E37F" w14:textId="77777777" w:rsidR="00AF4AAD" w:rsidRDefault="003D4366">
            <w:pPr>
              <w:pBdr>
                <w:top w:val="nil"/>
                <w:left w:val="nil"/>
                <w:bottom w:val="nil"/>
                <w:right w:val="nil"/>
                <w:between w:val="nil"/>
              </w:pBdr>
              <w:spacing w:line="360" w:lineRule="auto"/>
              <w:ind w:right="49"/>
              <w:jc w:val="center"/>
              <w:rPr>
                <w:rFonts w:ascii="Arial" w:eastAsia="Arial" w:hAnsi="Arial" w:cs="Arial"/>
                <w:b/>
                <w:color w:val="000000"/>
                <w:sz w:val="24"/>
                <w:szCs w:val="24"/>
              </w:rPr>
            </w:pPr>
            <w:r>
              <w:rPr>
                <w:rFonts w:ascii="Arial" w:eastAsia="Arial" w:hAnsi="Arial" w:cs="Arial"/>
                <w:b/>
                <w:color w:val="000000"/>
                <w:sz w:val="24"/>
                <w:szCs w:val="24"/>
              </w:rPr>
              <w:t>MAGISTRADA PRESIDENTA</w:t>
            </w:r>
          </w:p>
          <w:p w14:paraId="275E41F9" w14:textId="77777777" w:rsidR="00AF4AAD" w:rsidRDefault="00AF4AAD">
            <w:pPr>
              <w:pBdr>
                <w:top w:val="nil"/>
                <w:left w:val="nil"/>
                <w:bottom w:val="nil"/>
                <w:right w:val="nil"/>
                <w:between w:val="nil"/>
              </w:pBdr>
              <w:rPr>
                <w:color w:val="000000"/>
              </w:rPr>
            </w:pPr>
          </w:p>
          <w:p w14:paraId="6615C831" w14:textId="77777777" w:rsidR="00AF4AAD" w:rsidRDefault="003D4366">
            <w:pPr>
              <w:pBdr>
                <w:top w:val="nil"/>
                <w:left w:val="nil"/>
                <w:bottom w:val="nil"/>
                <w:right w:val="nil"/>
                <w:between w:val="nil"/>
              </w:pBdr>
              <w:spacing w:line="360" w:lineRule="auto"/>
              <w:ind w:right="49"/>
              <w:jc w:val="center"/>
              <w:rPr>
                <w:rFonts w:ascii="Arial" w:eastAsia="Arial" w:hAnsi="Arial" w:cs="Arial"/>
                <w:b/>
                <w:color w:val="000000"/>
                <w:sz w:val="24"/>
                <w:szCs w:val="24"/>
              </w:rPr>
            </w:pPr>
            <w:r>
              <w:rPr>
                <w:rFonts w:ascii="Arial" w:eastAsia="Arial" w:hAnsi="Arial" w:cs="Arial"/>
                <w:b/>
                <w:color w:val="000000"/>
                <w:sz w:val="24"/>
                <w:szCs w:val="24"/>
              </w:rPr>
              <w:t xml:space="preserve">CLAUDIA ELOISA DÍAZ DE LEÓN GONZÁLEZ </w:t>
            </w:r>
          </w:p>
          <w:p w14:paraId="6CADFEBA" w14:textId="77777777" w:rsidR="00AF4AAD" w:rsidRDefault="00AF4AAD">
            <w:pPr>
              <w:pBdr>
                <w:top w:val="nil"/>
                <w:left w:val="nil"/>
                <w:bottom w:val="nil"/>
                <w:right w:val="nil"/>
                <w:between w:val="nil"/>
              </w:pBdr>
              <w:spacing w:line="360" w:lineRule="auto"/>
              <w:ind w:right="49"/>
              <w:jc w:val="center"/>
              <w:rPr>
                <w:rFonts w:ascii="Arial" w:eastAsia="Arial" w:hAnsi="Arial" w:cs="Arial"/>
                <w:b/>
                <w:sz w:val="24"/>
                <w:szCs w:val="24"/>
              </w:rPr>
            </w:pPr>
          </w:p>
          <w:p w14:paraId="6A121A3B" w14:textId="77777777" w:rsidR="00AF4AAD" w:rsidRDefault="00AF4AAD">
            <w:pPr>
              <w:pBdr>
                <w:top w:val="nil"/>
                <w:left w:val="nil"/>
                <w:bottom w:val="nil"/>
                <w:right w:val="nil"/>
                <w:between w:val="nil"/>
              </w:pBdr>
              <w:rPr>
                <w:color w:val="000000"/>
              </w:rPr>
            </w:pPr>
          </w:p>
        </w:tc>
      </w:tr>
      <w:tr w:rsidR="00AF4AAD" w14:paraId="4DA28681" w14:textId="77777777">
        <w:trPr>
          <w:trHeight w:val="1437"/>
          <w:jc w:val="center"/>
        </w:trPr>
        <w:tc>
          <w:tcPr>
            <w:tcW w:w="4063" w:type="dxa"/>
          </w:tcPr>
          <w:p w14:paraId="3A58900B" w14:textId="77777777" w:rsidR="00AF4AAD" w:rsidRDefault="003D4366">
            <w:pPr>
              <w:pBdr>
                <w:top w:val="nil"/>
                <w:left w:val="nil"/>
                <w:bottom w:val="nil"/>
                <w:right w:val="nil"/>
                <w:between w:val="nil"/>
              </w:pBdr>
              <w:spacing w:line="360" w:lineRule="auto"/>
              <w:ind w:right="49"/>
              <w:jc w:val="center"/>
              <w:rPr>
                <w:rFonts w:ascii="Arial" w:eastAsia="Arial" w:hAnsi="Arial" w:cs="Arial"/>
                <w:b/>
                <w:color w:val="000000"/>
                <w:sz w:val="24"/>
                <w:szCs w:val="24"/>
              </w:rPr>
            </w:pPr>
            <w:r>
              <w:rPr>
                <w:rFonts w:ascii="Arial" w:eastAsia="Arial" w:hAnsi="Arial" w:cs="Arial"/>
                <w:b/>
                <w:color w:val="000000"/>
                <w:sz w:val="24"/>
                <w:szCs w:val="24"/>
              </w:rPr>
              <w:t>MAGISTRADA</w:t>
            </w:r>
          </w:p>
          <w:p w14:paraId="729AD321" w14:textId="77777777" w:rsidR="00AF4AAD" w:rsidRDefault="00AF4AAD">
            <w:pPr>
              <w:pBdr>
                <w:top w:val="nil"/>
                <w:left w:val="nil"/>
                <w:bottom w:val="nil"/>
                <w:right w:val="nil"/>
                <w:between w:val="nil"/>
              </w:pBdr>
              <w:rPr>
                <w:rFonts w:ascii="Arial" w:eastAsia="Arial" w:hAnsi="Arial" w:cs="Arial"/>
                <w:color w:val="000000"/>
                <w:sz w:val="24"/>
                <w:szCs w:val="24"/>
              </w:rPr>
            </w:pPr>
          </w:p>
          <w:p w14:paraId="38A290B9" w14:textId="77777777" w:rsidR="00AF4AAD" w:rsidRDefault="003D4366">
            <w:pPr>
              <w:pBdr>
                <w:top w:val="nil"/>
                <w:left w:val="nil"/>
                <w:bottom w:val="nil"/>
                <w:right w:val="nil"/>
                <w:between w:val="nil"/>
              </w:pBdr>
              <w:ind w:right="49"/>
              <w:jc w:val="center"/>
              <w:rPr>
                <w:rFonts w:ascii="Arial" w:eastAsia="Arial" w:hAnsi="Arial" w:cs="Arial"/>
                <w:b/>
                <w:color w:val="000000"/>
                <w:sz w:val="24"/>
                <w:szCs w:val="24"/>
              </w:rPr>
            </w:pPr>
            <w:r>
              <w:rPr>
                <w:rFonts w:ascii="Arial" w:eastAsia="Arial" w:hAnsi="Arial" w:cs="Arial"/>
                <w:b/>
                <w:color w:val="000000"/>
                <w:sz w:val="24"/>
                <w:szCs w:val="24"/>
              </w:rPr>
              <w:t xml:space="preserve">LAURA HORTENSIA </w:t>
            </w:r>
          </w:p>
          <w:p w14:paraId="4F96ED3C" w14:textId="77777777" w:rsidR="00AF4AAD" w:rsidRDefault="003D4366">
            <w:pPr>
              <w:pBdr>
                <w:top w:val="nil"/>
                <w:left w:val="nil"/>
                <w:bottom w:val="nil"/>
                <w:right w:val="nil"/>
                <w:between w:val="nil"/>
              </w:pBdr>
              <w:ind w:right="49"/>
              <w:jc w:val="center"/>
              <w:rPr>
                <w:rFonts w:ascii="Arial" w:eastAsia="Arial" w:hAnsi="Arial" w:cs="Arial"/>
                <w:b/>
                <w:color w:val="000000"/>
                <w:sz w:val="24"/>
                <w:szCs w:val="24"/>
              </w:rPr>
            </w:pPr>
            <w:r>
              <w:rPr>
                <w:rFonts w:ascii="Arial" w:eastAsia="Arial" w:hAnsi="Arial" w:cs="Arial"/>
                <w:b/>
                <w:color w:val="000000"/>
                <w:sz w:val="24"/>
                <w:szCs w:val="24"/>
              </w:rPr>
              <w:t>LLAMAS HERNÁNDEZ</w:t>
            </w:r>
          </w:p>
        </w:tc>
        <w:tc>
          <w:tcPr>
            <w:tcW w:w="4112" w:type="dxa"/>
          </w:tcPr>
          <w:p w14:paraId="6C180371" w14:textId="77777777" w:rsidR="00AF4AAD" w:rsidRDefault="003D4366">
            <w:pPr>
              <w:pBdr>
                <w:top w:val="nil"/>
                <w:left w:val="nil"/>
                <w:bottom w:val="nil"/>
                <w:right w:val="nil"/>
                <w:between w:val="nil"/>
              </w:pBdr>
              <w:spacing w:line="360" w:lineRule="auto"/>
              <w:ind w:right="49"/>
              <w:jc w:val="center"/>
              <w:rPr>
                <w:rFonts w:ascii="Arial" w:eastAsia="Arial" w:hAnsi="Arial" w:cs="Arial"/>
                <w:b/>
                <w:color w:val="000000"/>
                <w:sz w:val="24"/>
                <w:szCs w:val="24"/>
              </w:rPr>
            </w:pPr>
            <w:r>
              <w:rPr>
                <w:rFonts w:ascii="Arial" w:eastAsia="Arial" w:hAnsi="Arial" w:cs="Arial"/>
                <w:b/>
                <w:color w:val="000000"/>
                <w:sz w:val="24"/>
                <w:szCs w:val="24"/>
              </w:rPr>
              <w:t>MAGISTRADO</w:t>
            </w:r>
          </w:p>
          <w:p w14:paraId="7048EE6C" w14:textId="77777777" w:rsidR="00AF4AAD" w:rsidRDefault="00AF4AAD">
            <w:pPr>
              <w:pBdr>
                <w:top w:val="nil"/>
                <w:left w:val="nil"/>
                <w:bottom w:val="nil"/>
                <w:right w:val="nil"/>
                <w:between w:val="nil"/>
              </w:pBdr>
              <w:rPr>
                <w:rFonts w:ascii="Arial" w:eastAsia="Arial" w:hAnsi="Arial" w:cs="Arial"/>
                <w:color w:val="000000"/>
                <w:sz w:val="24"/>
                <w:szCs w:val="24"/>
              </w:rPr>
            </w:pPr>
          </w:p>
          <w:p w14:paraId="38EFA67D" w14:textId="77777777" w:rsidR="00AF4AAD" w:rsidRDefault="003D4366">
            <w:pPr>
              <w:pBdr>
                <w:top w:val="nil"/>
                <w:left w:val="nil"/>
                <w:bottom w:val="nil"/>
                <w:right w:val="nil"/>
                <w:between w:val="nil"/>
              </w:pBdr>
              <w:ind w:right="49"/>
              <w:jc w:val="center"/>
              <w:rPr>
                <w:rFonts w:ascii="Arial" w:eastAsia="Arial" w:hAnsi="Arial" w:cs="Arial"/>
                <w:b/>
                <w:color w:val="000000"/>
                <w:sz w:val="24"/>
                <w:szCs w:val="24"/>
              </w:rPr>
            </w:pPr>
            <w:r>
              <w:rPr>
                <w:rFonts w:ascii="Arial" w:eastAsia="Arial" w:hAnsi="Arial" w:cs="Arial"/>
                <w:b/>
                <w:color w:val="000000"/>
                <w:sz w:val="24"/>
                <w:szCs w:val="24"/>
              </w:rPr>
              <w:t xml:space="preserve">HÉCTOR SALVADOR </w:t>
            </w:r>
          </w:p>
          <w:p w14:paraId="5CD2C99F" w14:textId="77777777" w:rsidR="00AF4AAD" w:rsidRDefault="003D4366">
            <w:pPr>
              <w:pBdr>
                <w:top w:val="nil"/>
                <w:left w:val="nil"/>
                <w:bottom w:val="nil"/>
                <w:right w:val="nil"/>
                <w:between w:val="nil"/>
              </w:pBdr>
              <w:ind w:right="49"/>
              <w:jc w:val="center"/>
              <w:rPr>
                <w:rFonts w:ascii="Arial" w:eastAsia="Arial" w:hAnsi="Arial" w:cs="Arial"/>
                <w:b/>
                <w:color w:val="000000"/>
                <w:sz w:val="24"/>
                <w:szCs w:val="24"/>
              </w:rPr>
            </w:pPr>
            <w:r>
              <w:rPr>
                <w:rFonts w:ascii="Arial" w:eastAsia="Arial" w:hAnsi="Arial" w:cs="Arial"/>
                <w:b/>
                <w:color w:val="000000"/>
                <w:sz w:val="24"/>
                <w:szCs w:val="24"/>
              </w:rPr>
              <w:t>HERNÁNDEZ GALLEGOS</w:t>
            </w:r>
          </w:p>
          <w:p w14:paraId="1D8DCC27" w14:textId="77777777" w:rsidR="00AF4AAD" w:rsidRDefault="00AF4AAD">
            <w:pPr>
              <w:pBdr>
                <w:top w:val="nil"/>
                <w:left w:val="nil"/>
                <w:bottom w:val="nil"/>
                <w:right w:val="nil"/>
                <w:between w:val="nil"/>
              </w:pBdr>
              <w:ind w:right="49"/>
              <w:jc w:val="center"/>
              <w:rPr>
                <w:rFonts w:ascii="Arial" w:eastAsia="Arial" w:hAnsi="Arial" w:cs="Arial"/>
                <w:b/>
                <w:sz w:val="24"/>
                <w:szCs w:val="24"/>
              </w:rPr>
            </w:pPr>
          </w:p>
          <w:p w14:paraId="63DDC384" w14:textId="77777777" w:rsidR="00AF4AAD" w:rsidRDefault="00AF4AAD">
            <w:pPr>
              <w:pBdr>
                <w:top w:val="nil"/>
                <w:left w:val="nil"/>
                <w:bottom w:val="nil"/>
                <w:right w:val="nil"/>
                <w:between w:val="nil"/>
              </w:pBdr>
              <w:rPr>
                <w:color w:val="000000"/>
              </w:rPr>
            </w:pPr>
          </w:p>
        </w:tc>
      </w:tr>
      <w:tr w:rsidR="00AF4AAD" w14:paraId="246C8DF5" w14:textId="77777777">
        <w:trPr>
          <w:trHeight w:val="853"/>
          <w:jc w:val="center"/>
        </w:trPr>
        <w:tc>
          <w:tcPr>
            <w:tcW w:w="8175" w:type="dxa"/>
            <w:gridSpan w:val="2"/>
          </w:tcPr>
          <w:p w14:paraId="6F0EDDC0" w14:textId="77777777" w:rsidR="00AF4AAD" w:rsidRDefault="003D4366">
            <w:pPr>
              <w:pBdr>
                <w:top w:val="nil"/>
                <w:left w:val="nil"/>
                <w:bottom w:val="nil"/>
                <w:right w:val="nil"/>
                <w:between w:val="nil"/>
              </w:pBdr>
              <w:spacing w:line="360" w:lineRule="auto"/>
              <w:ind w:right="49"/>
              <w:jc w:val="center"/>
              <w:rPr>
                <w:rFonts w:ascii="Arial" w:eastAsia="Arial" w:hAnsi="Arial" w:cs="Arial"/>
                <w:b/>
                <w:color w:val="000000"/>
                <w:sz w:val="24"/>
                <w:szCs w:val="24"/>
              </w:rPr>
            </w:pPr>
            <w:r>
              <w:rPr>
                <w:rFonts w:ascii="Arial" w:eastAsia="Arial" w:hAnsi="Arial" w:cs="Arial"/>
                <w:b/>
                <w:color w:val="000000"/>
                <w:sz w:val="24"/>
                <w:szCs w:val="24"/>
              </w:rPr>
              <w:t xml:space="preserve">SECRETARIO GENERAL DE ACUERDOS </w:t>
            </w:r>
          </w:p>
          <w:p w14:paraId="285DF541" w14:textId="77777777" w:rsidR="00AF4AAD" w:rsidRDefault="00AF4AAD">
            <w:pPr>
              <w:pBdr>
                <w:top w:val="nil"/>
                <w:left w:val="nil"/>
                <w:bottom w:val="nil"/>
                <w:right w:val="nil"/>
                <w:between w:val="nil"/>
              </w:pBdr>
              <w:rPr>
                <w:color w:val="000000"/>
              </w:rPr>
            </w:pPr>
          </w:p>
          <w:p w14:paraId="379684AC" w14:textId="77777777" w:rsidR="00AF4AAD" w:rsidRDefault="003D4366">
            <w:pPr>
              <w:pBdr>
                <w:top w:val="nil"/>
                <w:left w:val="nil"/>
                <w:bottom w:val="nil"/>
                <w:right w:val="nil"/>
                <w:between w:val="nil"/>
              </w:pBdr>
              <w:spacing w:line="360" w:lineRule="auto"/>
              <w:ind w:right="49"/>
              <w:jc w:val="center"/>
              <w:rPr>
                <w:rFonts w:ascii="Arial" w:eastAsia="Arial" w:hAnsi="Arial" w:cs="Arial"/>
                <w:b/>
                <w:color w:val="000000"/>
                <w:sz w:val="24"/>
                <w:szCs w:val="24"/>
              </w:rPr>
            </w:pPr>
            <w:r>
              <w:rPr>
                <w:rFonts w:ascii="Arial" w:eastAsia="Arial" w:hAnsi="Arial" w:cs="Arial"/>
                <w:b/>
                <w:color w:val="000000"/>
                <w:sz w:val="24"/>
                <w:szCs w:val="24"/>
              </w:rPr>
              <w:t>JESÚS OCIEL BAENA SAUCEDO</w:t>
            </w:r>
          </w:p>
        </w:tc>
      </w:tr>
    </w:tbl>
    <w:p w14:paraId="738EB0D0" w14:textId="77777777" w:rsidR="00AF4AAD" w:rsidRDefault="00AF4AAD">
      <w:pPr>
        <w:spacing w:line="360" w:lineRule="auto"/>
        <w:rPr>
          <w:rFonts w:ascii="Arial" w:eastAsia="Arial" w:hAnsi="Arial" w:cs="Arial"/>
          <w:sz w:val="28"/>
          <w:szCs w:val="28"/>
        </w:rPr>
      </w:pPr>
    </w:p>
    <w:p w14:paraId="44222056" w14:textId="77777777" w:rsidR="00AF4AAD" w:rsidRDefault="00AF4AAD"/>
    <w:sectPr w:rsidR="00AF4AAD">
      <w:headerReference w:type="even" r:id="rId8"/>
      <w:headerReference w:type="default" r:id="rId9"/>
      <w:footerReference w:type="even" r:id="rId10"/>
      <w:footerReference w:type="default" r:id="rId11"/>
      <w:headerReference w:type="first" r:id="rId12"/>
      <w:footerReference w:type="first" r:id="rId13"/>
      <w:pgSz w:w="12240" w:h="20160"/>
      <w:pgMar w:top="2268" w:right="1134" w:bottom="1276"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2F384" w14:textId="77777777" w:rsidR="0046052E" w:rsidRDefault="0046052E">
      <w:r>
        <w:separator/>
      </w:r>
    </w:p>
  </w:endnote>
  <w:endnote w:type="continuationSeparator" w:id="0">
    <w:p w14:paraId="1B8E616A" w14:textId="77777777" w:rsidR="0046052E" w:rsidRDefault="0046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9297" w14:textId="77777777" w:rsidR="00AF4AAD" w:rsidRDefault="00AF4AA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C671" w14:textId="77777777" w:rsidR="00AF4AAD" w:rsidRDefault="00AF4AAD">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3959" w14:textId="77777777" w:rsidR="00AF4AAD" w:rsidRDefault="00AF4AA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558F9" w14:textId="77777777" w:rsidR="0046052E" w:rsidRDefault="0046052E">
      <w:r>
        <w:separator/>
      </w:r>
    </w:p>
  </w:footnote>
  <w:footnote w:type="continuationSeparator" w:id="0">
    <w:p w14:paraId="736C9080" w14:textId="77777777" w:rsidR="0046052E" w:rsidRDefault="0046052E">
      <w:r>
        <w:continuationSeparator/>
      </w:r>
    </w:p>
  </w:footnote>
  <w:footnote w:id="1">
    <w:p w14:paraId="4C31CF60" w14:textId="77777777" w:rsidR="00AF4AAD" w:rsidRDefault="003D4366">
      <w:pPr>
        <w:pBdr>
          <w:top w:val="nil"/>
          <w:left w:val="nil"/>
          <w:bottom w:val="nil"/>
          <w:right w:val="nil"/>
          <w:between w:val="nil"/>
        </w:pBdr>
        <w:rPr>
          <w:rFonts w:ascii="Arial" w:eastAsia="Arial" w:hAnsi="Arial" w:cs="Arial"/>
          <w:color w:val="000000"/>
        </w:rPr>
      </w:pPr>
      <w:r>
        <w:rPr>
          <w:vertAlign w:val="superscript"/>
        </w:rPr>
        <w:footnoteRef/>
      </w:r>
      <w:r>
        <w:rPr>
          <w:rFonts w:ascii="Arial" w:eastAsia="Arial" w:hAnsi="Arial" w:cs="Arial"/>
          <w:color w:val="000000"/>
        </w:rPr>
        <w:t xml:space="preserve"> Encargado de despacho de la secretaría de estudio de la Ponencia II.</w:t>
      </w:r>
    </w:p>
  </w:footnote>
  <w:footnote w:id="2">
    <w:p w14:paraId="2DED7CD4" w14:textId="77777777" w:rsidR="00AF4AAD" w:rsidRDefault="003D4366">
      <w:pPr>
        <w:pBdr>
          <w:top w:val="nil"/>
          <w:left w:val="nil"/>
          <w:bottom w:val="nil"/>
          <w:right w:val="nil"/>
          <w:between w:val="nil"/>
        </w:pBdr>
        <w:rPr>
          <w:rFonts w:ascii="Arial" w:eastAsia="Arial" w:hAnsi="Arial" w:cs="Arial"/>
          <w:color w:val="000000"/>
        </w:rPr>
      </w:pPr>
      <w:r>
        <w:rPr>
          <w:vertAlign w:val="superscript"/>
        </w:rPr>
        <w:footnoteRef/>
      </w:r>
      <w:r>
        <w:rPr>
          <w:rFonts w:ascii="Arial" w:eastAsia="Arial" w:hAnsi="Arial" w:cs="Arial"/>
          <w:color w:val="000000"/>
        </w:rPr>
        <w:t xml:space="preserve"> Todas las fechas corresponden al 2022, salvo precisión en contrario.</w:t>
      </w:r>
    </w:p>
  </w:footnote>
  <w:footnote w:id="3">
    <w:p w14:paraId="0ADA9A86" w14:textId="77777777" w:rsidR="00AF4AAD" w:rsidRDefault="003D4366">
      <w:pPr>
        <w:pBdr>
          <w:top w:val="nil"/>
          <w:left w:val="nil"/>
          <w:bottom w:val="nil"/>
          <w:right w:val="nil"/>
          <w:between w:val="nil"/>
        </w:pBdr>
        <w:tabs>
          <w:tab w:val="left" w:pos="567"/>
        </w:tabs>
        <w:spacing w:line="276" w:lineRule="auto"/>
        <w:ind w:right="36"/>
        <w:jc w:val="both"/>
        <w:rPr>
          <w:rFonts w:ascii="Arial" w:eastAsia="Arial" w:hAnsi="Arial" w:cs="Arial"/>
          <w:color w:val="000000"/>
          <w:sz w:val="16"/>
          <w:szCs w:val="16"/>
        </w:rPr>
      </w:pPr>
      <w:r>
        <w:rPr>
          <w:vertAlign w:val="superscript"/>
        </w:rPr>
        <w:footnoteRef/>
      </w:r>
      <w:r>
        <w:rPr>
          <w:rFonts w:ascii="Arial" w:eastAsia="Arial" w:hAnsi="Arial" w:cs="Arial"/>
          <w:i/>
          <w:color w:val="000000"/>
        </w:rPr>
        <w:t xml:space="preserve"> Precampaña</w:t>
      </w:r>
      <w:r>
        <w:rPr>
          <w:rFonts w:ascii="Arial" w:eastAsia="Arial" w:hAnsi="Arial" w:cs="Arial"/>
          <w:color w:val="000000"/>
        </w:rPr>
        <w:t xml:space="preserve">: Del 2 de enero al 10 de febrero; </w:t>
      </w:r>
      <w:r>
        <w:rPr>
          <w:rFonts w:ascii="Arial" w:eastAsia="Arial" w:hAnsi="Arial" w:cs="Arial"/>
          <w:i/>
          <w:color w:val="000000"/>
        </w:rPr>
        <w:t>Campaña</w:t>
      </w:r>
      <w:r>
        <w:rPr>
          <w:rFonts w:ascii="Arial" w:eastAsia="Arial" w:hAnsi="Arial" w:cs="Arial"/>
          <w:color w:val="000000"/>
        </w:rPr>
        <w:t xml:space="preserve">: Del 3 de abril al 1 de junio; </w:t>
      </w:r>
      <w:r>
        <w:rPr>
          <w:rFonts w:ascii="Arial" w:eastAsia="Arial" w:hAnsi="Arial" w:cs="Arial"/>
          <w:i/>
          <w:color w:val="000000"/>
        </w:rPr>
        <w:t>Veda Electoral</w:t>
      </w:r>
      <w:r>
        <w:rPr>
          <w:rFonts w:ascii="Arial" w:eastAsia="Arial" w:hAnsi="Arial" w:cs="Arial"/>
          <w:color w:val="000000"/>
        </w:rPr>
        <w:t xml:space="preserve">: Tres días antes de la Jornada Electoral; </w:t>
      </w:r>
      <w:r>
        <w:rPr>
          <w:rFonts w:ascii="Arial" w:eastAsia="Arial" w:hAnsi="Arial" w:cs="Arial"/>
          <w:i/>
          <w:color w:val="000000"/>
        </w:rPr>
        <w:t>Jornada Electoral</w:t>
      </w:r>
      <w:r>
        <w:rPr>
          <w:rFonts w:ascii="Arial" w:eastAsia="Arial" w:hAnsi="Arial" w:cs="Arial"/>
          <w:color w:val="000000"/>
        </w:rPr>
        <w:t>: El 5 de junio.</w:t>
      </w:r>
    </w:p>
  </w:footnote>
  <w:footnote w:id="4">
    <w:p w14:paraId="7F66C16C" w14:textId="77777777" w:rsidR="00AF4AAD" w:rsidRDefault="003D4366">
      <w:pPr>
        <w:rPr>
          <w:rFonts w:ascii="Arial" w:eastAsia="Arial" w:hAnsi="Arial" w:cs="Arial"/>
        </w:rPr>
      </w:pPr>
      <w:r>
        <w:rPr>
          <w:vertAlign w:val="superscript"/>
        </w:rPr>
        <w:footnoteRef/>
      </w:r>
      <w:r>
        <w:rPr>
          <w:rFonts w:ascii="Arial" w:eastAsia="Arial" w:hAnsi="Arial" w:cs="Arial"/>
        </w:rPr>
        <w:t xml:space="preserve"> Tal como se prevé en los artículos 313, fracción IV, </w:t>
      </w:r>
      <w:proofErr w:type="gramStart"/>
      <w:r>
        <w:rPr>
          <w:rFonts w:ascii="Arial" w:eastAsia="Arial" w:hAnsi="Arial" w:cs="Arial"/>
        </w:rPr>
        <w:t>y  337</w:t>
      </w:r>
      <w:proofErr w:type="gramEnd"/>
      <w:r>
        <w:rPr>
          <w:rFonts w:ascii="Arial" w:eastAsia="Arial" w:hAnsi="Arial" w:cs="Arial"/>
        </w:rPr>
        <w:t>, en relación con el 353, último párrafo del Código Electoral.</w:t>
      </w:r>
    </w:p>
  </w:footnote>
  <w:footnote w:id="5">
    <w:p w14:paraId="241735A9" w14:textId="77777777" w:rsidR="00AF4AAD" w:rsidRDefault="003D4366">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w:t>
      </w:r>
      <w:r>
        <w:rPr>
          <w:rFonts w:ascii="Arial" w:eastAsia="Arial" w:hAnsi="Arial" w:cs="Arial"/>
        </w:rPr>
        <w:t xml:space="preserve">Artículo </w:t>
      </w:r>
      <w:r>
        <w:rPr>
          <w:rFonts w:ascii="Arial" w:eastAsia="Arial" w:hAnsi="Arial" w:cs="Arial"/>
          <w:color w:val="000000"/>
        </w:rPr>
        <w:t>244.- Constituyen infracciones de los aspirantes, precandidatos, candidatos o candidatos independientes a cargos de elección popular, al presente Código:</w:t>
      </w:r>
      <w:r>
        <w:rPr>
          <w:rFonts w:ascii="Arial" w:eastAsia="Arial" w:hAnsi="Arial" w:cs="Arial"/>
        </w:rPr>
        <w:t xml:space="preserve"> </w:t>
      </w:r>
      <w:r>
        <w:rPr>
          <w:rFonts w:ascii="Arial" w:eastAsia="Arial" w:hAnsi="Arial" w:cs="Arial"/>
          <w:color w:val="000000"/>
        </w:rPr>
        <w:t>[…]</w:t>
      </w:r>
    </w:p>
    <w:p w14:paraId="29725DC0" w14:textId="77777777" w:rsidR="00AF4AAD" w:rsidRDefault="003D436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IV. La difusión de propaganda política o electoral que calumnie a las personas o que utilice, de forma premeditada, los datos personales, información o imágenes de niñas, niños o adolescentes, sin su consentimiento y el correspondiente por quien ejerza la patria potestad sobre los mismos;</w:t>
      </w:r>
      <w:r>
        <w:rPr>
          <w:rFonts w:ascii="Arial" w:eastAsia="Arial" w:hAnsi="Arial" w:cs="Arial"/>
        </w:rPr>
        <w:t xml:space="preserve"> </w:t>
      </w:r>
      <w:r>
        <w:rPr>
          <w:rFonts w:ascii="Arial" w:eastAsia="Arial" w:hAnsi="Arial" w:cs="Arial"/>
          <w:color w:val="000000"/>
        </w:rPr>
        <w:t>[…]</w:t>
      </w:r>
    </w:p>
  </w:footnote>
  <w:footnote w:id="6">
    <w:p w14:paraId="238361EC" w14:textId="77777777" w:rsidR="00AF4AAD" w:rsidRDefault="003D4366">
      <w:pPr>
        <w:pBdr>
          <w:top w:val="nil"/>
          <w:left w:val="nil"/>
          <w:bottom w:val="nil"/>
          <w:right w:val="nil"/>
          <w:between w:val="nil"/>
        </w:pBdr>
        <w:jc w:val="both"/>
        <w:rPr>
          <w:color w:val="000000"/>
        </w:rPr>
      </w:pPr>
      <w:r>
        <w:rPr>
          <w:vertAlign w:val="superscript"/>
        </w:rPr>
        <w:footnoteRef/>
      </w:r>
      <w:r>
        <w:rPr>
          <w:rFonts w:ascii="Arial" w:eastAsia="Arial" w:hAnsi="Arial" w:cs="Arial"/>
          <w:color w:val="000000"/>
        </w:rPr>
        <w:t xml:space="preserve"> </w:t>
      </w:r>
      <w:r>
        <w:rPr>
          <w:rFonts w:ascii="Arial" w:eastAsia="Arial" w:hAnsi="Arial" w:cs="Arial"/>
        </w:rPr>
        <w:t xml:space="preserve">Artículo </w:t>
      </w:r>
      <w:r>
        <w:rPr>
          <w:rFonts w:ascii="Arial" w:eastAsia="Arial" w:hAnsi="Arial" w:cs="Arial"/>
          <w:color w:val="000000"/>
        </w:rPr>
        <w:t>269.- Los procedimientos relacionados con la difusión de propaganda política o electoral que realicen los partidos políticos, las coaliciones, los candidatos y precandidatos, que calumnien, discriminen o denigren a las personas, sólo podrán iniciar a instancia de parte afectada. Tratándose de actos que constituyan violencia política contra las mujeres en razón de género en términos de este Código; la Secretaría Ejecutiva recibirá las denuncias de la parte afectada, y, además, deberá actuar de oficio cuando advierta la posible comisión de estas conductas.</w:t>
      </w:r>
      <w:r>
        <w:rPr>
          <w:rFonts w:ascii="Arial" w:eastAsia="Arial" w:hAnsi="Arial" w:cs="Arial"/>
        </w:rPr>
        <w:t xml:space="preserve"> </w:t>
      </w:r>
      <w:r>
        <w:rPr>
          <w:rFonts w:ascii="Arial" w:eastAsia="Arial" w:hAnsi="Arial" w:cs="Arial"/>
          <w:color w:val="000000"/>
        </w:rPr>
        <w:t>[…]</w:t>
      </w:r>
    </w:p>
  </w:footnote>
  <w:footnote w:id="7">
    <w:p w14:paraId="0250660B" w14:textId="77777777" w:rsidR="00AF4AAD" w:rsidRDefault="003D4366">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rPr>
        <w:t xml:space="preserve"> Véanse los asuntos S</w:t>
      </w:r>
      <w:r>
        <w:rPr>
          <w:rFonts w:ascii="Arial" w:eastAsia="Arial" w:hAnsi="Arial" w:cs="Arial"/>
          <w:color w:val="000000"/>
        </w:rPr>
        <w:t>UP-REP-131/2015 y SUP-REP-446/2015.</w:t>
      </w:r>
    </w:p>
  </w:footnote>
  <w:footnote w:id="8">
    <w:p w14:paraId="61675629" w14:textId="77777777" w:rsidR="00AF4AAD" w:rsidRDefault="003D4366">
      <w:pPr>
        <w:pBdr>
          <w:top w:val="nil"/>
          <w:left w:val="nil"/>
          <w:bottom w:val="nil"/>
          <w:right w:val="nil"/>
          <w:between w:val="nil"/>
        </w:pBdr>
        <w:jc w:val="both"/>
        <w:rPr>
          <w:rFonts w:ascii="Arial" w:eastAsia="Arial" w:hAnsi="Arial" w:cs="Arial"/>
          <w:color w:val="000000"/>
        </w:rPr>
      </w:pPr>
      <w:r>
        <w:rPr>
          <w:vertAlign w:val="superscript"/>
        </w:rPr>
        <w:footnoteRef/>
      </w:r>
      <w:r>
        <w:rPr>
          <w:color w:val="000000"/>
        </w:rPr>
        <w:t xml:space="preserve"> </w:t>
      </w:r>
      <w:r>
        <w:rPr>
          <w:rFonts w:ascii="Arial" w:eastAsia="Arial" w:hAnsi="Arial" w:cs="Arial"/>
        </w:rPr>
        <w:t>Consúltese el</w:t>
      </w:r>
      <w:r>
        <w:rPr>
          <w:rFonts w:ascii="Arial" w:eastAsia="Arial" w:hAnsi="Arial" w:cs="Arial"/>
          <w:color w:val="000000"/>
        </w:rPr>
        <w:t xml:space="preserve"> asunto SRE-PSC-90/2021.</w:t>
      </w:r>
    </w:p>
  </w:footnote>
  <w:footnote w:id="9">
    <w:p w14:paraId="54615C81" w14:textId="77777777" w:rsidR="00AF4AAD" w:rsidRDefault="003D4366">
      <w:pPr>
        <w:pBdr>
          <w:top w:val="nil"/>
          <w:left w:val="nil"/>
          <w:bottom w:val="nil"/>
          <w:right w:val="nil"/>
          <w:between w:val="nil"/>
        </w:pBdr>
        <w:jc w:val="both"/>
        <w:rPr>
          <w:color w:val="000000"/>
        </w:rPr>
      </w:pPr>
      <w:r>
        <w:rPr>
          <w:vertAlign w:val="superscript"/>
        </w:rPr>
        <w:footnoteRef/>
      </w:r>
      <w:r>
        <w:rPr>
          <w:color w:val="000000"/>
        </w:rPr>
        <w:t xml:space="preserve"> </w:t>
      </w:r>
      <w:r>
        <w:rPr>
          <w:rFonts w:ascii="Arial" w:eastAsia="Arial" w:hAnsi="Arial" w:cs="Arial"/>
          <w:color w:val="000000"/>
        </w:rPr>
        <w:t>Véase asunto SUP-JRC-210/2016.</w:t>
      </w:r>
    </w:p>
  </w:footnote>
  <w:footnote w:id="10">
    <w:p w14:paraId="3626AA23" w14:textId="77777777" w:rsidR="00AF4AAD" w:rsidRDefault="003D4366">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w:t>
      </w:r>
      <w:r>
        <w:rPr>
          <w:rFonts w:ascii="Arial" w:eastAsia="Arial" w:hAnsi="Arial" w:cs="Arial"/>
        </w:rPr>
        <w:t>Consúltese</w:t>
      </w:r>
      <w:r>
        <w:rPr>
          <w:rFonts w:ascii="Arial" w:eastAsia="Arial" w:hAnsi="Arial" w:cs="Arial"/>
          <w:color w:val="000000"/>
        </w:rPr>
        <w:t xml:space="preserve"> los asuntos SRE-PSC-72/2021 y SER-PSC-70/2021.</w:t>
      </w:r>
    </w:p>
  </w:footnote>
  <w:footnote w:id="11">
    <w:p w14:paraId="0459E26D" w14:textId="77777777" w:rsidR="00AF4AAD" w:rsidRDefault="003D4366">
      <w:pPr>
        <w:pBdr>
          <w:top w:val="nil"/>
          <w:left w:val="nil"/>
          <w:bottom w:val="nil"/>
          <w:right w:val="nil"/>
          <w:between w:val="nil"/>
        </w:pBdr>
        <w:jc w:val="both"/>
        <w:rPr>
          <w:rFonts w:ascii="Arial" w:eastAsia="Arial" w:hAnsi="Arial" w:cs="Arial"/>
          <w:color w:val="000000"/>
        </w:rPr>
      </w:pPr>
      <w:r>
        <w:rPr>
          <w:vertAlign w:val="superscript"/>
        </w:rPr>
        <w:footnoteRef/>
      </w:r>
      <w:r>
        <w:t xml:space="preserve"> </w:t>
      </w:r>
      <w:r>
        <w:rPr>
          <w:rFonts w:ascii="Arial" w:eastAsia="Arial" w:hAnsi="Arial" w:cs="Arial"/>
          <w:color w:val="000000"/>
        </w:rPr>
        <w:t xml:space="preserve">Véase las resoluciones </w:t>
      </w:r>
      <w:r>
        <w:rPr>
          <w:rFonts w:ascii="Arial" w:eastAsia="Arial" w:hAnsi="Arial" w:cs="Arial"/>
          <w:color w:val="000000"/>
          <w:highlight w:val="white"/>
        </w:rPr>
        <w:t>SUP-REP-155/2016, SUP-REP-43/2016, SRE-PSC-132/2018 y SRE-PSC-78/2018.</w:t>
      </w:r>
    </w:p>
  </w:footnote>
  <w:footnote w:id="12">
    <w:p w14:paraId="07501DAF" w14:textId="77777777" w:rsidR="00AF4AAD" w:rsidRDefault="003D4366">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Jurisprudencia 36/2010</w:t>
      </w:r>
      <w:r>
        <w:rPr>
          <w:rFonts w:ascii="Arial" w:eastAsia="Arial" w:hAnsi="Arial" w:cs="Arial"/>
        </w:rPr>
        <w:t xml:space="preserve">, de rubro: </w:t>
      </w:r>
      <w:r>
        <w:rPr>
          <w:rFonts w:ascii="Arial" w:eastAsia="Arial" w:hAnsi="Arial" w:cs="Arial"/>
          <w:i/>
        </w:rPr>
        <w:t>“</w:t>
      </w:r>
      <w:r>
        <w:rPr>
          <w:rFonts w:ascii="Arial" w:eastAsia="Arial" w:hAnsi="Arial" w:cs="Arial"/>
          <w:i/>
          <w:color w:val="000000"/>
        </w:rPr>
        <w:t>PROCEDIMIENTO ADMINISTRATIVO ESPECIAL SANCIONADOR. SUJETOS LEGITIMADOS PARA PRESENTAR LA QUEJA O DENUNCIA</w:t>
      </w:r>
      <w:r>
        <w:rPr>
          <w:rFonts w:ascii="Arial" w:eastAsia="Arial" w:hAnsi="Arial" w:cs="Arial"/>
          <w:i/>
        </w:rPr>
        <w:t>”.-</w:t>
      </w:r>
      <w:r>
        <w:rPr>
          <w:rFonts w:ascii="Arial" w:eastAsia="Arial" w:hAnsi="Arial" w:cs="Arial"/>
          <w:color w:val="000000"/>
        </w:rPr>
        <w:t xml:space="preserve"> De la interpretación sistemática y funcional de los artículos 361, párrafo 1, 362, párrafo 1 y 368, párrafo 2, del Código Federal de Instituciones y Procedimientos Electorales, se concluye que, por regla general, cualquier sujeto puede presentar denuncias para iniciar el procedimiento administrativo especial sancionador, salvo en el caso de difusión de propaganda que denigre o calumnie, en el que solamente la parte agraviada estará legitimada para denunciar. Lo anterior obedece a que el procedimiento mencionado es de orden público, por lo que basta que se hagan del conocimiento de la autoridad administrativa sancionadora hechos que presuntamente infrinjan normas electorales para que dé inicio el procedimiento respectivo.</w:t>
      </w:r>
    </w:p>
    <w:p w14:paraId="278F6AE3" w14:textId="5B420575" w:rsidR="00AF4AAD" w:rsidRDefault="008211A9">
      <w:pPr>
        <w:pBdr>
          <w:top w:val="nil"/>
          <w:left w:val="nil"/>
          <w:bottom w:val="nil"/>
          <w:right w:val="nil"/>
          <w:between w:val="nil"/>
        </w:pBdr>
        <w:jc w:val="both"/>
        <w:rPr>
          <w:rFonts w:ascii="Arial" w:eastAsia="Arial" w:hAnsi="Arial" w:cs="Arial"/>
          <w:color w:val="000000"/>
        </w:rPr>
      </w:pPr>
      <w:r>
        <w:rPr>
          <w:rFonts w:ascii="Arial" w:eastAsia="Arial" w:hAnsi="Arial" w:cs="Arial"/>
        </w:rPr>
        <w:t>Visible</w:t>
      </w:r>
      <w:r w:rsidR="003D4366">
        <w:rPr>
          <w:rFonts w:ascii="Arial" w:eastAsia="Arial" w:hAnsi="Arial" w:cs="Arial"/>
        </w:rPr>
        <w:t xml:space="preserve"> en la </w:t>
      </w:r>
      <w:r w:rsidR="003D4366">
        <w:rPr>
          <w:rFonts w:ascii="Arial" w:eastAsia="Arial" w:hAnsi="Arial" w:cs="Arial"/>
          <w:color w:val="000000"/>
        </w:rPr>
        <w:t>Gaceta de Jurisprudencia y Tesis en materia electoral</w:t>
      </w:r>
      <w:r w:rsidR="003D4366">
        <w:rPr>
          <w:rFonts w:ascii="Arial" w:eastAsia="Arial" w:hAnsi="Arial" w:cs="Arial"/>
        </w:rPr>
        <w:t xml:space="preserve"> del</w:t>
      </w:r>
      <w:r w:rsidR="003D4366">
        <w:rPr>
          <w:rFonts w:ascii="Arial" w:eastAsia="Arial" w:hAnsi="Arial" w:cs="Arial"/>
          <w:color w:val="000000"/>
        </w:rPr>
        <w:t xml:space="preserve"> Tribunal Electoral del Poder Judicial de la Federación, </w:t>
      </w:r>
      <w:r w:rsidR="003D4366">
        <w:rPr>
          <w:rFonts w:ascii="Arial" w:eastAsia="Arial" w:hAnsi="Arial" w:cs="Arial"/>
        </w:rPr>
        <w:t>a</w:t>
      </w:r>
      <w:r w:rsidR="003D4366">
        <w:rPr>
          <w:rFonts w:ascii="Arial" w:eastAsia="Arial" w:hAnsi="Arial" w:cs="Arial"/>
          <w:color w:val="000000"/>
        </w:rPr>
        <w:t xml:space="preserve">ño 3, </w:t>
      </w:r>
      <w:r w:rsidR="003D4366">
        <w:rPr>
          <w:rFonts w:ascii="Arial" w:eastAsia="Arial" w:hAnsi="Arial" w:cs="Arial"/>
        </w:rPr>
        <w:t>n</w:t>
      </w:r>
      <w:r w:rsidR="003D4366">
        <w:rPr>
          <w:rFonts w:ascii="Arial" w:eastAsia="Arial" w:hAnsi="Arial" w:cs="Arial"/>
          <w:color w:val="000000"/>
        </w:rPr>
        <w:t>úmero 7, 2010, páginas 29 y 30.</w:t>
      </w:r>
    </w:p>
    <w:p w14:paraId="440455AA" w14:textId="77777777" w:rsidR="00AF4AAD" w:rsidRDefault="00AF4AAD">
      <w:pPr>
        <w:pBdr>
          <w:top w:val="nil"/>
          <w:left w:val="nil"/>
          <w:bottom w:val="nil"/>
          <w:right w:val="nil"/>
          <w:between w:val="nil"/>
        </w:pBdr>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8830" w14:textId="49A9059B" w:rsidR="00AF4AAD" w:rsidRDefault="0046052E">
    <w:pPr>
      <w:pBdr>
        <w:top w:val="nil"/>
        <w:left w:val="nil"/>
        <w:bottom w:val="nil"/>
        <w:right w:val="nil"/>
        <w:between w:val="nil"/>
      </w:pBdr>
      <w:tabs>
        <w:tab w:val="center" w:pos="4419"/>
        <w:tab w:val="right" w:pos="8838"/>
      </w:tabs>
      <w:rPr>
        <w:color w:val="000000"/>
      </w:rPr>
    </w:pPr>
    <w:r>
      <w:rPr>
        <w:noProof/>
      </w:rPr>
      <w:pict w14:anchorId="027E7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351735" o:spid="_x0000_s1026" type="#_x0000_t136" style="position:absolute;margin-left:0;margin-top:0;width:591.85pt;height:91.05pt;rotation:315;z-index:-251651072;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7CC8" w14:textId="238CBD3D" w:rsidR="00AF4AAD" w:rsidRDefault="0046052E">
    <w:pPr>
      <w:spacing w:line="200" w:lineRule="auto"/>
    </w:pPr>
    <w:r>
      <w:rPr>
        <w:noProof/>
      </w:rPr>
      <w:pict w14:anchorId="4887F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351736" o:spid="_x0000_s1027" type="#_x0000_t136" style="position:absolute;margin-left:0;margin-top:0;width:591.85pt;height:91.05pt;rotation:315;z-index:-251649024;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sdt>
      <w:sdtPr>
        <w:id w:val="1554807848"/>
        <w:docPartObj>
          <w:docPartGallery w:val="Page Numbers (Margins)"/>
          <w:docPartUnique/>
        </w:docPartObj>
      </w:sdtPr>
      <w:sdtEndPr/>
      <w:sdtContent>
        <w:r w:rsidR="006A7B95">
          <w:rPr>
            <w:noProof/>
          </w:rPr>
          <mc:AlternateContent>
            <mc:Choice Requires="wps">
              <w:drawing>
                <wp:anchor distT="0" distB="0" distL="114300" distR="114300" simplePos="0" relativeHeight="251661312" behindDoc="0" locked="0" layoutInCell="0" allowOverlap="1" wp14:anchorId="7E580199" wp14:editId="3082DCDE">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24FBC" w14:textId="77777777" w:rsidR="006A7B95" w:rsidRDefault="006A7B95">
                              <w:pPr>
                                <w:pBdr>
                                  <w:bottom w:val="single" w:sz="4" w:space="1" w:color="auto"/>
                                </w:pBdr>
                              </w:pPr>
                              <w:r>
                                <w:fldChar w:fldCharType="begin"/>
                              </w:r>
                              <w:r>
                                <w:instrText>PAGE   \* MERGEFORMAT</w:instrText>
                              </w:r>
                              <w:r>
                                <w:fldChar w:fldCharType="separate"/>
                              </w:r>
                              <w:r>
                                <w:rPr>
                                  <w:lang w:val="es-ES"/>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E580199" id="Rectángulo 1"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" o:allowincell="f" stroked="f">
                  <v:textbox>
                    <w:txbxContent>
                      <w:p w14:paraId="11424FBC" w14:textId="77777777" w:rsidR="006A7B95" w:rsidRDefault="006A7B95">
                        <w:pPr>
                          <w:pBdr>
                            <w:bottom w:val="single" w:sz="4" w:space="1" w:color="auto"/>
                          </w:pBdr>
                        </w:pPr>
                        <w:r>
                          <w:fldChar w:fldCharType="begin"/>
                        </w:r>
                        <w:r>
                          <w:instrText>PAGE   \* MERGEFORMAT</w:instrText>
                        </w:r>
                        <w:r>
                          <w:fldChar w:fldCharType="separate"/>
                        </w:r>
                        <w:r>
                          <w:rPr>
                            <w:lang w:val="es-ES"/>
                          </w:rPr>
                          <w:t>2</w:t>
                        </w:r>
                        <w:r>
                          <w:fldChar w:fldCharType="end"/>
                        </w:r>
                      </w:p>
                    </w:txbxContent>
                  </v:textbox>
                  <w10:wrap anchorx="margin" anchory="margin"/>
                </v:rect>
              </w:pict>
            </mc:Fallback>
          </mc:AlternateContent>
        </w:r>
      </w:sdtContent>
    </w:sdt>
    <w:r w:rsidR="003D4366">
      <w:rPr>
        <w:noProof/>
      </w:rPr>
      <mc:AlternateContent>
        <mc:Choice Requires="wps">
          <w:drawing>
            <wp:anchor distT="0" distB="0" distL="114300" distR="114300" simplePos="0" relativeHeight="251658240" behindDoc="0" locked="0" layoutInCell="1" hidden="0" allowOverlap="1" wp14:anchorId="40EB9251" wp14:editId="2859011F">
              <wp:simplePos x="0" y="0"/>
              <wp:positionH relativeFrom="rightMargin">
                <wp:align>right</wp:align>
              </wp:positionH>
              <wp:positionV relativeFrom="margin">
                <wp:align>center</wp:align>
              </wp:positionV>
              <wp:extent cx="746760" cy="348615"/>
              <wp:effectExtent l="0" t="0" r="0" b="0"/>
              <wp:wrapNone/>
              <wp:docPr id="5" name="Rectángulo 5"/>
              <wp:cNvGraphicFramePr/>
              <a:graphic xmlns:a="http://schemas.openxmlformats.org/drawingml/2006/main">
                <a:graphicData uri="http://schemas.microsoft.com/office/word/2010/wordprocessingShape">
                  <wps:wsp>
                    <wps:cNvSpPr/>
                    <wps:spPr>
                      <a:xfrm>
                        <a:off x="4982145" y="3615218"/>
                        <a:ext cx="727710" cy="329565"/>
                      </a:xfrm>
                      <a:prstGeom prst="rect">
                        <a:avLst/>
                      </a:prstGeom>
                      <a:solidFill>
                        <a:srgbClr val="FFFFFF"/>
                      </a:solidFill>
                      <a:ln>
                        <a:noFill/>
                      </a:ln>
                    </wps:spPr>
                    <wps:txbx>
                      <w:txbxContent>
                        <w:p w14:paraId="2D8103A5" w14:textId="77777777" w:rsidR="00AF4AAD" w:rsidRDefault="00AF4AAD">
                          <w:pPr>
                            <w:textDirection w:val="btLr"/>
                          </w:pPr>
                        </w:p>
                      </w:txbxContent>
                    </wps:txbx>
                    <wps:bodyPr spcFirstLastPara="1" wrap="square" lIns="91425" tIns="45700" rIns="91425" bIns="45700" anchor="t" anchorCtr="0">
                      <a:noAutofit/>
                    </wps:bodyPr>
                  </wps:wsp>
                </a:graphicData>
              </a:graphic>
            </wp:anchor>
          </w:drawing>
        </mc:Choice>
        <mc:Fallback>
          <w:pict>
            <v:rect w14:anchorId="40EB9251" id="Rectángulo 5" o:spid="_x0000_s1027" style="position:absolute;margin-left:7.6pt;margin-top:0;width:58.8pt;height:27.45pt;z-index:251658240;visibility:visible;mso-wrap-style:square;mso-wrap-distance-left:9pt;mso-wrap-distance-top:0;mso-wrap-distance-right:9pt;mso-wrap-distance-bottom:0;mso-position-horizontal:right;mso-position-horizontal-relative:right-margin-area;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" stroked="f">
              <v:textbox inset="2.53958mm,1.2694mm,2.53958mm,1.2694mm">
                <w:txbxContent>
                  <w:p w14:paraId="2D8103A5" w14:textId="77777777" w:rsidR="00AF4AAD" w:rsidRDefault="00AF4AAD">
                    <w:pPr>
                      <w:textDirection w:val="btLr"/>
                    </w:pPr>
                  </w:p>
                </w:txbxContent>
              </v:textbox>
              <w10:wrap anchorx="margin" anchory="margin"/>
            </v:rect>
          </w:pict>
        </mc:Fallback>
      </mc:AlternateContent>
    </w:r>
  </w:p>
  <w:p w14:paraId="0796D1D6" w14:textId="77777777" w:rsidR="00AF4AAD" w:rsidRDefault="00AF4AAD">
    <w:pPr>
      <w:spacing w:line="200" w:lineRule="auto"/>
    </w:pPr>
  </w:p>
  <w:p w14:paraId="3FFCB5AA" w14:textId="77777777" w:rsidR="00AF4AAD" w:rsidRDefault="00AF4AAD">
    <w:pPr>
      <w:spacing w:line="200" w:lineRule="auto"/>
    </w:pPr>
  </w:p>
  <w:p w14:paraId="5CD21A11" w14:textId="77777777" w:rsidR="00AF4AAD" w:rsidRDefault="00AF4AAD">
    <w:pPr>
      <w:spacing w:line="200" w:lineRule="auto"/>
    </w:pPr>
  </w:p>
  <w:p w14:paraId="033ED9D1" w14:textId="77777777" w:rsidR="00AF4AAD" w:rsidRDefault="00AF4AAD">
    <w:pPr>
      <w:spacing w:line="200" w:lineRule="auto"/>
    </w:pPr>
  </w:p>
  <w:p w14:paraId="1D36E006" w14:textId="77777777" w:rsidR="00AF4AAD" w:rsidRDefault="00AF4AAD">
    <w:pPr>
      <w:spacing w:line="200" w:lineRule="auto"/>
    </w:pPr>
  </w:p>
  <w:p w14:paraId="5D3D0964" w14:textId="77777777" w:rsidR="00AF4AAD" w:rsidRDefault="00AF4AAD">
    <w:pPr>
      <w:spacing w:line="200" w:lineRule="auto"/>
    </w:pPr>
  </w:p>
  <w:p w14:paraId="099E2F8D" w14:textId="77777777" w:rsidR="00AF4AAD" w:rsidRDefault="00AF4AAD">
    <w:pPr>
      <w:spacing w:line="200" w:lineRule="auto"/>
    </w:pPr>
  </w:p>
  <w:p w14:paraId="1492EF1F" w14:textId="77777777" w:rsidR="00AF4AAD" w:rsidRDefault="003D4366">
    <w:pPr>
      <w:spacing w:line="200" w:lineRule="auto"/>
    </w:pPr>
    <w:r>
      <w:rPr>
        <w:noProof/>
      </w:rPr>
      <w:drawing>
        <wp:anchor distT="0" distB="0" distL="0" distR="0" simplePos="0" relativeHeight="251659264" behindDoc="1" locked="0" layoutInCell="1" hidden="0" allowOverlap="1" wp14:anchorId="798CD7FA" wp14:editId="2B468A3B">
          <wp:simplePos x="0" y="0"/>
          <wp:positionH relativeFrom="page">
            <wp:posOffset>708660</wp:posOffset>
          </wp:positionH>
          <wp:positionV relativeFrom="page">
            <wp:posOffset>174625</wp:posOffset>
          </wp:positionV>
          <wp:extent cx="1179830" cy="140462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9830" cy="14046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D1E9" w14:textId="6BD80C5E" w:rsidR="00AF4AAD" w:rsidRDefault="0046052E">
    <w:pPr>
      <w:pBdr>
        <w:top w:val="nil"/>
        <w:left w:val="nil"/>
        <w:bottom w:val="nil"/>
        <w:right w:val="nil"/>
        <w:between w:val="nil"/>
      </w:pBdr>
      <w:tabs>
        <w:tab w:val="center" w:pos="4419"/>
        <w:tab w:val="right" w:pos="8838"/>
      </w:tabs>
      <w:rPr>
        <w:color w:val="000000"/>
      </w:rPr>
    </w:pPr>
    <w:r>
      <w:rPr>
        <w:noProof/>
      </w:rPr>
      <w:pict w14:anchorId="674C0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351734" o:spid="_x0000_s1025" type="#_x0000_t136" style="position:absolute;margin-left:0;margin-top:0;width:591.85pt;height:91.05pt;rotation:315;z-index:-251653120;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66E68"/>
    <w:multiLevelType w:val="multilevel"/>
    <w:tmpl w:val="90801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7336E9"/>
    <w:multiLevelType w:val="multilevel"/>
    <w:tmpl w:val="6F687F6A"/>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5755069">
    <w:abstractNumId w:val="0"/>
  </w:num>
  <w:num w:numId="2" w16cid:durableId="1441291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AAD"/>
    <w:rsid w:val="00240B08"/>
    <w:rsid w:val="00346141"/>
    <w:rsid w:val="0039474A"/>
    <w:rsid w:val="003D4366"/>
    <w:rsid w:val="003F2351"/>
    <w:rsid w:val="0046052E"/>
    <w:rsid w:val="00584AFC"/>
    <w:rsid w:val="006A7B95"/>
    <w:rsid w:val="00743613"/>
    <w:rsid w:val="008211A9"/>
    <w:rsid w:val="00AF4AAD"/>
    <w:rsid w:val="00B54696"/>
    <w:rsid w:val="00C04EA3"/>
    <w:rsid w:val="00DB2DB9"/>
    <w:rsid w:val="00E7678B"/>
    <w:rsid w:val="00F15311"/>
    <w:rsid w:val="00FD07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F8A22"/>
  <w15:docId w15:val="{041FD0BC-EF8E-4404-88DA-ED6326BA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D5B"/>
  </w:style>
  <w:style w:type="paragraph" w:styleId="Ttulo1">
    <w:name w:val="heading 1"/>
    <w:basedOn w:val="Normal"/>
    <w:next w:val="Normal"/>
    <w:link w:val="Ttulo1Car"/>
    <w:uiPriority w:val="9"/>
    <w:qFormat/>
    <w:rsid w:val="00A42D5B"/>
    <w:pPr>
      <w:keepNext/>
      <w:spacing w:line="360" w:lineRule="auto"/>
      <w:jc w:val="both"/>
      <w:outlineLvl w:val="0"/>
    </w:pPr>
    <w:rPr>
      <w:rFonts w:ascii="Arial" w:eastAsia="Arial" w:hAnsi="Arial" w:cs="Arial"/>
      <w:b/>
      <w:smallCaps/>
      <w:sz w:val="24"/>
      <w:szCs w:val="24"/>
    </w:rPr>
  </w:style>
  <w:style w:type="paragraph" w:styleId="Ttulo2">
    <w:name w:val="heading 2"/>
    <w:basedOn w:val="Normal"/>
    <w:next w:val="Normal"/>
    <w:link w:val="Ttulo2Car"/>
    <w:uiPriority w:val="9"/>
    <w:unhideWhenUsed/>
    <w:qFormat/>
    <w:rsid w:val="00A42D5B"/>
    <w:pPr>
      <w:keepNext/>
      <w:keepLines/>
      <w:spacing w:before="200" w:line="276" w:lineRule="auto"/>
      <w:outlineLvl w:val="1"/>
    </w:pPr>
    <w:rPr>
      <w:rFonts w:ascii="Calibri" w:eastAsia="Calibri" w:hAnsi="Calibri" w:cs="Calibri"/>
      <w:b/>
      <w:color w:val="4472C4"/>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A42D5B"/>
    <w:rPr>
      <w:rFonts w:ascii="Arial" w:eastAsia="Arial" w:hAnsi="Arial" w:cs="Arial"/>
      <w:b/>
      <w:smallCaps/>
      <w:sz w:val="24"/>
      <w:szCs w:val="24"/>
      <w:lang w:eastAsia="es-MX"/>
    </w:rPr>
  </w:style>
  <w:style w:type="character" w:customStyle="1" w:styleId="Ttulo2Car">
    <w:name w:val="Título 2 Car"/>
    <w:basedOn w:val="Fuentedeprrafopredeter"/>
    <w:link w:val="Ttulo2"/>
    <w:uiPriority w:val="9"/>
    <w:rsid w:val="00A42D5B"/>
    <w:rPr>
      <w:rFonts w:ascii="Calibri" w:eastAsia="Calibri" w:hAnsi="Calibri" w:cs="Calibri"/>
      <w:b/>
      <w:color w:val="4472C4"/>
      <w:sz w:val="26"/>
      <w:szCs w:val="26"/>
      <w:lang w:eastAsia="es-MX"/>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A42D5B"/>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A42D5B"/>
    <w:rPr>
      <w:rFonts w:ascii="Times New Roman" w:eastAsia="Times New Roman" w:hAnsi="Times New Roman" w:cs="Times New Roman"/>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juli"/>
    <w:basedOn w:val="Fuentedeprrafopredeter"/>
    <w:link w:val="4GChar"/>
    <w:uiPriority w:val="99"/>
    <w:unhideWhenUsed/>
    <w:qFormat/>
    <w:rsid w:val="00A42D5B"/>
    <w:rPr>
      <w:vertAlign w:val="superscript"/>
    </w:rPr>
  </w:style>
  <w:style w:type="paragraph" w:styleId="Sinespaciado">
    <w:name w:val="No Spacing"/>
    <w:link w:val="SinespaciadoCar"/>
    <w:uiPriority w:val="1"/>
    <w:qFormat/>
    <w:rsid w:val="00A42D5B"/>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42D5B"/>
    <w:pPr>
      <w:jc w:val="both"/>
    </w:pPr>
    <w:rPr>
      <w:rFonts w:asciiTheme="minorHAnsi" w:eastAsiaTheme="minorHAnsi" w:hAnsiTheme="minorHAnsi" w:cstheme="minorBidi"/>
      <w:sz w:val="22"/>
      <w:szCs w:val="22"/>
      <w:vertAlign w:val="superscript"/>
      <w:lang w:eastAsia="en-US"/>
    </w:rPr>
  </w:style>
  <w:style w:type="character" w:customStyle="1" w:styleId="SinespaciadoCar">
    <w:name w:val="Sin espaciado Car"/>
    <w:link w:val="Sinespaciado"/>
    <w:uiPriority w:val="1"/>
    <w:rsid w:val="00A42D5B"/>
    <w:rPr>
      <w:rFonts w:ascii="Times New Roman" w:eastAsia="Times New Roman" w:hAnsi="Times New Roman" w:cs="Times New Roman"/>
      <w:sz w:val="20"/>
      <w:szCs w:val="20"/>
      <w:lang w:eastAsia="es-MX"/>
    </w:rPr>
  </w:style>
  <w:style w:type="paragraph" w:styleId="Encabezado">
    <w:name w:val="header"/>
    <w:basedOn w:val="Normal"/>
    <w:link w:val="EncabezadoCar"/>
    <w:uiPriority w:val="99"/>
    <w:unhideWhenUsed/>
    <w:rsid w:val="00A42D5B"/>
    <w:pPr>
      <w:tabs>
        <w:tab w:val="center" w:pos="4419"/>
        <w:tab w:val="right" w:pos="8838"/>
      </w:tabs>
    </w:pPr>
  </w:style>
  <w:style w:type="character" w:customStyle="1" w:styleId="EncabezadoCar">
    <w:name w:val="Encabezado Car"/>
    <w:basedOn w:val="Fuentedeprrafopredeter"/>
    <w:link w:val="Encabezado"/>
    <w:uiPriority w:val="99"/>
    <w:rsid w:val="00A42D5B"/>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A42D5B"/>
    <w:pPr>
      <w:tabs>
        <w:tab w:val="center" w:pos="4419"/>
        <w:tab w:val="right" w:pos="8838"/>
      </w:tabs>
    </w:pPr>
  </w:style>
  <w:style w:type="character" w:customStyle="1" w:styleId="PiedepginaCar">
    <w:name w:val="Pie de página Car"/>
    <w:basedOn w:val="Fuentedeprrafopredeter"/>
    <w:link w:val="Piedepgina"/>
    <w:uiPriority w:val="99"/>
    <w:rsid w:val="00A42D5B"/>
    <w:rPr>
      <w:rFonts w:ascii="Times New Roman" w:eastAsia="Times New Roman" w:hAnsi="Times New Roman" w:cs="Times New Roman"/>
      <w:sz w:val="20"/>
      <w:szCs w:val="20"/>
      <w:lang w:eastAsia="es-MX"/>
    </w:rPr>
  </w:style>
  <w:style w:type="paragraph" w:styleId="NormalWeb">
    <w:name w:val="Normal (Web)"/>
    <w:basedOn w:val="Normal"/>
    <w:uiPriority w:val="99"/>
    <w:unhideWhenUsed/>
    <w:rsid w:val="00A42D5B"/>
    <w:pPr>
      <w:spacing w:before="100" w:beforeAutospacing="1" w:after="100" w:afterAutospacing="1"/>
    </w:pPr>
    <w:rPr>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aqUILkfx9VKAOUOgVARPkEUMnQ==">AMUW2mWbNZfTIgHbygGJ2MdGo3IF40gsUzf2heRDS9GsoGl4/8EkAptH3598OKg0M0YVh76G/YWjleA6v7vYQ+EUAreqD35Vxb7a/W9Th6I9umLaXOocVeP793FQ73f+KAMaUGTkJ4yML5uSn1qlpQ1Ik0g0UUHr4JEMDOcnPKPncVjDI/RjOwNMkGxCXkdS9VwLmjho8CpOGKb5zUMASb4xT6hKb/It8HhJHvD2zPiJCd3vhG5AEWEP1fdd8z8TirukHnDQIot4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2947</Words>
  <Characters>16209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TEEA-LAP-ONE</dc:creator>
  <cp:lastModifiedBy>Secretario Gral</cp:lastModifiedBy>
  <cp:revision>2</cp:revision>
  <cp:lastPrinted>2022-04-28T20:38:00Z</cp:lastPrinted>
  <dcterms:created xsi:type="dcterms:W3CDTF">2022-04-29T17:03:00Z</dcterms:created>
  <dcterms:modified xsi:type="dcterms:W3CDTF">2022-04-29T17:03:00Z</dcterms:modified>
</cp:coreProperties>
</file>